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真题与厦门模拟题详细知识点OLS权重分析报告</w:t>
      </w:r>
    </w:p>
    <w:p>
      <w:pPr>
        <w:jc w:val="center"/>
      </w:pPr>
      <w:r>
        <w:rPr>
          <w:color w:val="595959"/>
          <w:sz w:val="20"/>
        </w:rPr>
        <w:t>逐题重合度、相关性与出卷权重</w:t>
      </w:r>
    </w:p>
    <w:p>
      <w:pPr>
        <w:pStyle w:val="Heading1"/>
      </w:pPr>
      <w:r>
        <w:t>分析结论</w:t>
      </w:r>
    </w:p>
    <w:p>
      <w:pPr>
        <w:spacing w:after="120"/>
      </w:pPr>
      <w:r>
        <w:t>同年可直接对照年份为：2023。由于2024福建真题PDF文本层为空，2024厦门卷无法与同年福建真题做逐题同年回归，只进入后续权重参考。</w:t>
      </w:r>
    </w:p>
    <w:p>
      <w:pPr>
        <w:spacing w:after="120"/>
      </w:pPr>
      <w:r>
        <w:t>OLS以详细知识点为单位，用厦门同年占比、考纲覆盖和厦门卷平均难度解释同年真题占比，再结合历史真题和2026厦门模拟卷形成出卷权重。</w:t>
      </w:r>
    </w:p>
    <w:p>
      <w:r>
        <w:rPr>
          <w:b/>
        </w:rPr>
        <w:t>同年详细知识点相关性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year</w:t>
            </w:r>
          </w:p>
        </w:tc>
        <w:tc>
          <w:tcPr>
            <w:tcW w:type="dxa" w:w="1656"/>
          </w:tcPr>
          <w:p>
            <w:r>
              <w:t>real_question_count</w:t>
            </w:r>
          </w:p>
        </w:tc>
        <w:tc>
          <w:tcPr>
            <w:tcW w:type="dxa" w:w="1656"/>
          </w:tcPr>
          <w:p>
            <w:r>
              <w:t>xiamen_question_count</w:t>
            </w:r>
          </w:p>
        </w:tc>
        <w:tc>
          <w:tcPr>
            <w:tcW w:type="dxa" w:w="1656"/>
          </w:tcPr>
          <w:p>
            <w:r>
              <w:t>detail_pearson_correlation</w:t>
            </w:r>
          </w:p>
        </w:tc>
        <w:tc>
          <w:tcPr>
            <w:tcW w:type="dxa" w:w="1656"/>
          </w:tcPr>
          <w:p>
            <w:r>
              <w:t>detail_jaccard_overlap</w:t>
            </w:r>
          </w:p>
        </w:tc>
        <w:tc>
          <w:tcPr>
            <w:tcW w:type="dxa" w:w="1656"/>
          </w:tcPr>
          <w:p>
            <w:r>
              <w:t>exact_overlap_count</w:t>
            </w:r>
          </w:p>
        </w:tc>
      </w:tr>
      <w:tr>
        <w:tc>
          <w:tcPr>
            <w:tcW w:type="dxa" w:w="1656"/>
          </w:tcPr>
          <w:p>
            <w:r>
              <w:t>2023</w:t>
            </w:r>
          </w:p>
        </w:tc>
        <w:tc>
          <w:tcPr>
            <w:tcW w:type="dxa" w:w="1656"/>
          </w:tcPr>
          <w:p>
            <w:r>
              <w:t>16</w:t>
            </w:r>
          </w:p>
        </w:tc>
        <w:tc>
          <w:tcPr>
            <w:tcW w:type="dxa" w:w="1656"/>
          </w:tcPr>
          <w:p>
            <w:r>
              <w:t>11</w:t>
            </w:r>
          </w:p>
        </w:tc>
        <w:tc>
          <w:tcPr>
            <w:tcW w:type="dxa" w:w="1656"/>
          </w:tcPr>
          <w:p>
            <w:r>
              <w:t>-0.110465</w:t>
            </w:r>
          </w:p>
        </w:tc>
        <w:tc>
          <w:tcPr>
            <w:tcW w:type="dxa" w:w="1656"/>
          </w:tcPr>
          <w:p>
            <w:r>
              <w:t>0.4</w:t>
            </w:r>
          </w:p>
        </w:tc>
        <w:tc>
          <w:tcPr>
            <w:tcW w:type="dxa" w:w="1656"/>
          </w:tcPr>
          <w:p>
            <w:r>
              <w:t>6</w:t>
            </w:r>
          </w:p>
        </w:tc>
      </w:tr>
    </w:tbl>
    <w:p>
      <w:r>
        <w:rPr>
          <w:b/>
        </w:rPr>
        <w:t>OLS回归系数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term</w:t>
            </w:r>
          </w:p>
        </w:tc>
        <w:tc>
          <w:tcPr>
            <w:tcW w:type="dxa" w:w="3312"/>
          </w:tcPr>
          <w:p>
            <w:r>
              <w:t>coefficient</w:t>
            </w:r>
          </w:p>
        </w:tc>
        <w:tc>
          <w:tcPr>
            <w:tcW w:type="dxa" w:w="3312"/>
          </w:tcPr>
          <w:p>
            <w:r>
              <w:t>plain_meaning</w:t>
            </w:r>
          </w:p>
        </w:tc>
      </w:tr>
      <w:tr>
        <w:tc>
          <w:tcPr>
            <w:tcW w:type="dxa" w:w="3312"/>
          </w:tcPr>
          <w:p>
            <w:r>
              <w:t>截距</w:t>
            </w:r>
          </w:p>
        </w:tc>
        <w:tc>
          <w:tcPr>
            <w:tcW w:type="dxa" w:w="3312"/>
          </w:tcPr>
          <w:p>
            <w:r>
              <w:t>0.030571</w:t>
            </w:r>
          </w:p>
        </w:tc>
        <w:tc>
          <w:tcPr>
            <w:tcW w:type="dxa" w:w="3312"/>
          </w:tcPr>
          <w:p>
            <w:r>
              <w:t>没有厦门卷信号时的基础权重。</w:t>
            </w:r>
          </w:p>
        </w:tc>
      </w:tr>
      <w:tr>
        <w:tc>
          <w:tcPr>
            <w:tcW w:type="dxa" w:w="3312"/>
          </w:tcPr>
          <w:p>
            <w:r>
              <w:t>厦门同年详细知识点占比</w:t>
            </w:r>
          </w:p>
        </w:tc>
        <w:tc>
          <w:tcPr>
            <w:tcW w:type="dxa" w:w="3312"/>
          </w:tcPr>
          <w:p>
            <w:r>
              <w:t>0.276495</w:t>
            </w:r>
          </w:p>
        </w:tc>
        <w:tc>
          <w:tcPr>
            <w:tcW w:type="dxa" w:w="3312"/>
          </w:tcPr>
          <w:p>
            <w:r>
              <w:t>厦门卷某知识点占比越高，真题中对应占比的变化方向。</w:t>
            </w:r>
          </w:p>
        </w:tc>
      </w:tr>
      <w:tr>
        <w:tc>
          <w:tcPr>
            <w:tcW w:type="dxa" w:w="3312"/>
          </w:tcPr>
          <w:p>
            <w:r>
              <w:t>考纲覆盖</w:t>
            </w:r>
          </w:p>
        </w:tc>
        <w:tc>
          <w:tcPr>
            <w:tcW w:type="dxa" w:w="3312"/>
          </w:tcPr>
          <w:p>
            <w:r>
              <w:t>0.030571</w:t>
            </w:r>
          </w:p>
        </w:tc>
        <w:tc>
          <w:tcPr>
            <w:tcW w:type="dxa" w:w="3312"/>
          </w:tcPr>
          <w:p>
            <w:r>
              <w:t>该知识点被考纲覆盖时对真题占比的加权影响。</w:t>
            </w:r>
          </w:p>
        </w:tc>
      </w:tr>
      <w:tr>
        <w:tc>
          <w:tcPr>
            <w:tcW w:type="dxa" w:w="3312"/>
          </w:tcPr>
          <w:p>
            <w:r>
              <w:t>厦门卷平均难度</w:t>
            </w:r>
          </w:p>
        </w:tc>
        <w:tc>
          <w:tcPr>
            <w:tcW w:type="dxa" w:w="3312"/>
          </w:tcPr>
          <w:p>
            <w:r>
              <w:t>-0.069293</w:t>
            </w:r>
          </w:p>
        </w:tc>
        <w:tc>
          <w:tcPr>
            <w:tcW w:type="dxa" w:w="3312"/>
          </w:tcPr>
          <w:p>
            <w:r>
              <w:t>厦门卷中该知识点平均难度越高，对真题占比的加权影响。</w:t>
            </w:r>
          </w:p>
        </w:tc>
      </w:tr>
      <w:tr>
        <w:tc>
          <w:tcPr>
            <w:tcW w:type="dxa" w:w="3312"/>
          </w:tcPr>
          <w:p>
            <w:r>
              <w:t>R2</w:t>
            </w:r>
          </w:p>
        </w:tc>
        <w:tc>
          <w:tcPr>
            <w:tcW w:type="dxa" w:w="3312"/>
          </w:tcPr>
          <w:p>
            <w:r>
              <w:t>0.22148</w:t>
            </w:r>
          </w:p>
        </w:tc>
        <w:tc>
          <w:tcPr>
            <w:tcW w:type="dxa" w:w="3312"/>
          </w:tcPr>
          <w:p>
            <w:r>
              <w:t>模型对同年真题详细知识点占比的解释程度。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1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_year_detail_overlap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ls_weighted_knowledge_weigh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出卷权重怎么用</w:t>
      </w:r>
    </w:p>
    <w:p>
      <w:pPr>
        <w:spacing w:after="120"/>
      </w:pPr>
      <w:r>
        <w:t>权重越高，模拟卷中越应该安排题目；但仍要满足你指定的题型结构：15道选择题、5道填空题、4道解答题。</w:t>
      </w:r>
    </w:p>
    <w:p>
      <w:pPr>
        <w:spacing w:after="120"/>
      </w:pPr>
      <w:r>
        <w:t>如果某些详细知识点由于公式抽取缺失进入人工复核，系统会降低其自动权重，避免误判。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