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3A4A"/>
          <w:sz w:val="36"/>
        </w:rPr>
        <w:t>福建省 AI 人才供需匹配的教育—产业耦合协调测度</w:t>
      </w:r>
    </w:p>
    <w:p>
      <w:pPr>
        <w:spacing w:after="200"/>
        <w:jc w:val="center"/>
      </w:pPr>
      <w:r>
        <w:rPr>
          <w:rFonts w:ascii="Heiti SC" w:hAnsi="Heiti SC" w:eastAsia="Heiti SC"/>
          <w:b/>
          <w:color w:val="378ADD"/>
          <w:sz w:val="26"/>
        </w:rPr>
        <w:t>数据与检验</w:t>
      </w:r>
    </w:p>
    <w:p>
      <w:pPr>
        <w:spacing w:before="40" w:after="16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摘要：本文以四环节功能链测度福建 9 设区市 2019—2024 年教育（E）与产业（I）的耦合协调度（CCD），并以障碍度模型诊断失调环节。结果显示福州、厦门优质协调（D&gt;0.9）、其余 7 市长期失调，呈“双核—腹地”二元结构；福州“教育领先”、厦门“产业领先”构成镜像。本文详述障碍度的数据处理、方法与检验，并揭示 min-max 标准化对腹地城市障碍分解的压缩效应及其修正。进一步以功能链局部耦合检验识别链节断裂，以边界约束的区域组合检验识别空间协同类型（跨核互补、互补型与带动型都市圈）。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一、数据来源与口径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教育—产业耦合在“四环节功能链”上测度：教育系统（E）含供给规模与供给质量，产业系统（I）含产业承接与产业转化。各环节指标、来源与标准化方式如下。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00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45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12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129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标准化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供给规模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AI 专业群本科招生计划数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福建省普通高校招生计划册（逐年解析）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人均化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E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供给质量</w:t>
            </w:r>
          </w:p>
        </w:tc>
        <w:tc>
          <w:tcPr>
            <w:tcW w:type="dxa" w:w="345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国家级/省级一流本科专业建设点</w:t>
            </w:r>
          </w:p>
        </w:tc>
        <w:tc>
          <w:tcPr>
            <w:tcW w:type="dxa" w:w="331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教育部/省教育厅公开名单（逐条核验）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容量（非人均）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产业承接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信息传输软件业城镇单位从业人员（门类I）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各市统计年鉴（官方核验）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人均化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I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产业转化</w:t>
            </w:r>
          </w:p>
        </w:tc>
        <w:tc>
          <w:tcPr>
            <w:tcW w:type="dxa" w:w="345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企业 AI/数字技术专利申请量</w:t>
            </w:r>
          </w:p>
        </w:tc>
        <w:tc>
          <w:tcPr>
            <w:tcW w:type="dxa" w:w="331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智慧芽专利库（IPC 检索）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人均化</w:t>
            </w:r>
          </w:p>
        </w:tc>
      </w:tr>
    </w:tbl>
    <w:p>
      <w:pPr>
        <w:spacing w:before="8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三口径严格嵌套（C⊂B⊂X）：C 为 AI 直接命名专业（人工智能、智能科学与技术、数据科学与大数据技术），B 加入计算机科学与技术、软件工程等基础专业群（主口径），X 进一步纳入电子信息、自动化、智能制造等交叉群；专利端按 IPC 前缀对应嵌套。人均化分母统一为全市·年末·常住人口，使指标度量“人均强度”而非城市规模。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二、数据处理流程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1. 抽取与归一：</w:t>
      </w:r>
      <w:r>
        <w:rPr>
          <w:rFonts w:ascii="Songti SC" w:hAnsi="Songti SC" w:eastAsia="Songti SC"/>
          <w:b w:val="0"/>
          <w:sz w:val="20"/>
        </w:rPr>
        <w:t>招生册按版式族自动解析（2019 Word/2020 两栏/2021 单栏左移/2022—2024 标准），校名与专业 join 口径配置；专利 75 396 件去重后剔高校/个人、IPC 分类、第一申请人地址归市，入账 35 169 件。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2. 质量闸门：</w:t>
      </w:r>
      <w:r>
        <w:rPr>
          <w:rFonts w:ascii="Songti SC" w:hAnsi="Songti SC" w:eastAsia="Songti SC"/>
          <w:b w:val="0"/>
          <w:sz w:val="20"/>
        </w:rPr>
        <w:t>完备性核查（零命中生成《真零核查单》）、年际跳变、加总锚（Σ九市≈全省）。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3. 标准化：</w:t>
      </w:r>
      <w:r>
        <w:rPr>
          <w:rFonts w:ascii="Songti SC" w:hAnsi="Songti SC" w:eastAsia="Songti SC"/>
          <w:b w:val="0"/>
          <w:sz w:val="20"/>
        </w:rPr>
        <w:t>全样本固定基准 min-max（按 C/B/X 分别做）；min/max 锚单元须数值审计签字。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4. 缺失处理：</w:t>
      </w:r>
      <w:r>
        <w:rPr>
          <w:rFonts w:ascii="Songti SC" w:hAnsi="Songti SC" w:eastAsia="Songti SC"/>
          <w:b w:val="0"/>
          <w:sz w:val="20"/>
        </w:rPr>
        <w:t>遵循“缺失不填 0、不插值、不外推”；可回推者仅限“全省锚可得+单年”（人口 2019 七普断点回推、漳州 2024 产业承接定锚回推；莆田 2019 代理值剔除）。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5. 测度：</w:t>
      </w:r>
      <w:r>
        <w:rPr>
          <w:rFonts w:ascii="Songti SC" w:hAnsi="Songti SC" w:eastAsia="Songti SC"/>
          <w:b w:val="0"/>
          <w:sz w:val="20"/>
        </w:rPr>
        <w:t>耦合协调度 D=√(C·T)，障碍度分解至四环节定位主障碍。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三、测度方法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耦合协调度（廖重斌，1999）：D=√(C·T)，其中耦合度 C=2√(E·I)/(E+I) 衡量 E、I 的协同程度，综合发展水平 T=(E+I)/2 衡量整体高度；D∈[0,1]，任一指数为 0 标“不可计算”，不参与等级与路径分类。该二元耦合度形式（含系数 2、E=I 时 C=1）与王淑佳等（2021）厘定的规范公式一致，亦通过其“四类误区”自检。</w:t>
      </w:r>
    </w:p>
    <w:p>
      <w:pPr>
        <w:spacing w:before="6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障碍度模型：障碍度份额 = 因子贡献度 × 指标偏离度（归一化）。设环节 k 的标准化值为 vₖ、理想值为 1，则其偏离度为 (1−vₖ)、贡献度等权 1/4，障碍度份额 = (1−vₖ)/Σⱼ(1−vⱼ)。份额最大的环节即“主障碍”。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四、测量结果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4.1  耦合协调度水平与时序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32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图1  福建9市教育—产业耦合协调度热力图（B口径，2019—2024）。颜色越深协调度越高。</w:t>
      </w:r>
    </w:p>
    <w:p>
      <w:pPr>
        <w:spacing w:before="8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核心发现一（双核—腹地分化）：福州、厦门 2024 年 D 均超 0.9（优质协调）且六年持续上升；其余 7 市长期处于 0.16—0.36 的失调区间。福建 AI 人才供需匹配呈鲜明的“双核协调、腹地失调”二元结构，且差距未随时间收敛。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4.2  E—I 结构与城市类型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97680" cy="3589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8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图2  E—I 结构与双核镜像（B口径，2024）。对角线为供需均衡线。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0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市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E指数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I指数</w:t>
            </w:r>
          </w:p>
        </w:tc>
        <w:tc>
          <w:tcPr>
            <w:tcW w:type="dxa" w:w="129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D</w:t>
            </w:r>
          </w:p>
        </w:tc>
        <w:tc>
          <w:tcPr>
            <w:tcW w:type="dxa" w:w="374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城市类型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主障碍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0.769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0.937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教育领先·产业滞后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产业转化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厦门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0.713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0.977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0.914</w:t>
            </w:r>
          </w:p>
        </w:tc>
        <w:tc>
          <w:tcPr>
            <w:tcW w:type="dxa" w:w="37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产业领先·教育滞后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供给规模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泉州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0.067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0.363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产业承接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龙岩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0.083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0.107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0.306</w:t>
            </w:r>
          </w:p>
        </w:tc>
        <w:tc>
          <w:tcPr>
            <w:tcW w:type="dxa" w:w="37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（弱信号）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宁德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0.159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供给质量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莆田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0.081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0.044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0.244</w:t>
            </w:r>
          </w:p>
        </w:tc>
        <w:tc>
          <w:tcPr>
            <w:tcW w:type="dxa" w:w="37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供给质量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漳州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0.254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产业承接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三明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0.071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0.060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0.255</w:t>
            </w:r>
          </w:p>
        </w:tc>
        <w:tc>
          <w:tcPr>
            <w:tcW w:type="dxa" w:w="37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（弱信号）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南平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0.201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双低失调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（弱信号）</w:t>
            </w:r>
          </w:p>
        </w:tc>
      </w:tr>
    </w:tbl>
    <w:p>
      <w:pPr>
        <w:spacing w:before="8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核心发现二（双核镜像）：福州与厦门同为高协调而机理相反。福州教育供给封顶（E=1.0）、产业转化滞后，落在均衡线“教育领先”一侧；厦门产业指数近满（I=0.977）、供给规模滞后，落在“产业领先”一侧。二者构成一对“高协调、反向失衡”的镜像——前者待产业承接其人才产出，后者待教育扩张其供给规模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五、环节分析与障碍度诊断（详述）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5.1  障碍度的数据处理：四环节标准化值的构造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障碍度直接建立在四环节的标准化值 vₖ 之上，其数据处理为两步：①人均化——供给规模、产业承接、产业转化三环节除以城市常住人口（供给质量为项目点计数，不人均化）；②全样本 min-max 标准化——按 C/B/X 口径分别，对“城市×年份”全样本取固定基准 min-max，将各环节映射至 [0,1]。下表为 B 口径 2024 年的标准化值与极差（四环节最大—最小），它是后续障碍分解可信度的关键。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</w:tblGrid>
      <w:tr>
        <w:tc>
          <w:tcPr>
            <w:tcW w:type="dxa" w:w="86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市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供给规模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供给质量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产业承接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产业转化</w:t>
            </w:r>
          </w:p>
        </w:tc>
        <w:tc>
          <w:tcPr>
            <w:tcW w:type="dxa" w:w="100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极差</w:t>
            </w:r>
          </w:p>
        </w:tc>
        <w:tc>
          <w:tcPr>
            <w:tcW w:type="dxa" w:w="1872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障碍可辨性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0.858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0.681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0.319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清晰</w:t>
            </w:r>
          </w:p>
        </w:tc>
      </w:tr>
      <w:tr>
        <w:tc>
          <w:tcPr>
            <w:tcW w:type="dxa" w:w="864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厦门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0.562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0.864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0.954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1.000</w:t>
            </w:r>
          </w:p>
        </w:tc>
        <w:tc>
          <w:tcPr>
            <w:tcW w:type="dxa" w:w="100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0.438</w:t>
            </w:r>
          </w:p>
        </w:tc>
        <w:tc>
          <w:tcPr>
            <w:tcW w:type="dxa" w:w="187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清晰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泉州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0.076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0.231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清晰</w:t>
            </w:r>
          </w:p>
        </w:tc>
      </w:tr>
      <w:tr>
        <w:tc>
          <w:tcPr>
            <w:tcW w:type="dxa" w:w="864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宁德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0.009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0.000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0.049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0.226</w:t>
            </w:r>
          </w:p>
        </w:tc>
        <w:tc>
          <w:tcPr>
            <w:tcW w:type="dxa" w:w="100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0.226</w:t>
            </w:r>
          </w:p>
        </w:tc>
        <w:tc>
          <w:tcPr>
            <w:tcW w:type="dxa" w:w="187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清晰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漳州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0.206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可辨</w:t>
            </w:r>
          </w:p>
        </w:tc>
      </w:tr>
      <w:tr>
        <w:tc>
          <w:tcPr>
            <w:tcW w:type="dxa" w:w="864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莆田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0.163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0.000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0.049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0.038</w:t>
            </w:r>
          </w:p>
        </w:tc>
        <w:tc>
          <w:tcPr>
            <w:tcW w:type="dxa" w:w="100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0.163</w:t>
            </w:r>
          </w:p>
        </w:tc>
        <w:tc>
          <w:tcPr>
            <w:tcW w:type="dxa" w:w="187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可辨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龙岩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0.102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0.074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弱（噪声）</w:t>
            </w:r>
          </w:p>
        </w:tc>
      </w:tr>
      <w:tr>
        <w:tc>
          <w:tcPr>
            <w:tcW w:type="dxa" w:w="864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三明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0.096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0.046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0.079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0.040</w:t>
            </w:r>
          </w:p>
        </w:tc>
        <w:tc>
          <w:tcPr>
            <w:tcW w:type="dxa" w:w="100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0.056</w:t>
            </w:r>
          </w:p>
        </w:tc>
        <w:tc>
          <w:tcPr>
            <w:tcW w:type="dxa" w:w="1872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弱（噪声）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南平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0.029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弱（噪声）</w:t>
            </w:r>
          </w:p>
        </w:tc>
      </w:tr>
    </w:tbl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5.2  障碍度方法与主障碍识别（含手算示范）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障碍度份额的含义是：某环节“离满分还差多少”，占该市“所有环节差距之和”的比例；份额最大的环节即“主障碍”。计算分三步（以 5.1 的标准化值 vₖ 为输入，理想值=1）：①偏离度 = 1−vₖ（离前沿差多少）；②总偏离 = Σ(1−vⱼ)（四环节差距相加）；③障碍度份额 = 偏离度 ÷ 总偏离。四环节份额必然加总为 100%。</w:t>
      </w:r>
    </w:p>
    <w:p>
      <w:pPr>
        <w:spacing w:before="80" w:after="40" w:line="348" w:lineRule="auto"/>
        <w:jc w:val="both"/>
      </w:pPr>
      <w:r>
        <w:rPr>
          <w:rFonts w:ascii="Songti SC" w:hAnsi="Songti SC" w:eastAsia="Songti SC"/>
          <w:b/>
          <w:sz w:val="20"/>
        </w:rPr>
        <w:t>示范①——福州（教育侧封顶、产业侧偏低，主障碍清晰）：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①标准化值 v</w:t>
            </w:r>
          </w:p>
        </w:tc>
        <w:tc>
          <w:tcPr>
            <w:tcW w:type="dxa" w:w="28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②偏离度 = 1−v</w:t>
            </w:r>
          </w:p>
        </w:tc>
        <w:tc>
          <w:tcPr>
            <w:tcW w:type="dxa" w:w="388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③障碍度% = 偏离÷总偏离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供给规模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1.000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1−1.000 = 0.000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0.000 ÷ 0.461 = 0.0%</w:t>
            </w:r>
          </w:p>
        </w:tc>
      </w:tr>
      <w:tr>
        <w:tc>
          <w:tcPr>
            <w:tcW w:type="dxa" w:w="144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1.000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1−1.000 = 0.000</w:t>
            </w:r>
          </w:p>
        </w:tc>
        <w:tc>
          <w:tcPr>
            <w:tcW w:type="dxa" w:w="388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0.000 ÷ 0.461 = 0.0%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产业承接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0.858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1−0.858 = 0.142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0.142 ÷ 0.461 = 30.8%</w:t>
            </w:r>
          </w:p>
        </w:tc>
      </w:tr>
      <w:tr>
        <w:tc>
          <w:tcPr>
            <w:tcW w:type="dxa" w:w="144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产业转化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0.681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1−0.681 = 0.319</w:t>
            </w:r>
          </w:p>
        </w:tc>
        <w:tc>
          <w:tcPr>
            <w:tcW w:type="dxa" w:w="388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0.319 ÷ 0.461 = 69.2%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合计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0.461（总偏离）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100%</w:t>
            </w:r>
          </w:p>
        </w:tc>
      </w:tr>
    </w:tbl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福州教育两环节已达前沿（偏离 0 → 障碍 0%），失调全部来自产业侧，其中产业转化占总差距 69.2% → 主障碍=产业转化。</w:t>
      </w:r>
    </w:p>
    <w:p>
      <w:pPr>
        <w:spacing w:before="80" w:after="40" w:line="348" w:lineRule="auto"/>
        <w:jc w:val="both"/>
      </w:pPr>
      <w:r>
        <w:rPr>
          <w:rFonts w:ascii="Songti SC" w:hAnsi="Songti SC" w:eastAsia="Songti SC"/>
          <w:b/>
          <w:sz w:val="20"/>
        </w:rPr>
        <w:t>示范②——龙岩（四环节同步偏低，份额趋同，主障碍为弱信号）：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①标准化值 v</w:t>
            </w:r>
          </w:p>
        </w:tc>
        <w:tc>
          <w:tcPr>
            <w:tcW w:type="dxa" w:w="28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②偏离度 = 1−v</w:t>
            </w:r>
          </w:p>
        </w:tc>
        <w:tc>
          <w:tcPr>
            <w:tcW w:type="dxa" w:w="388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③障碍度% = 偏离÷总偏离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供给规模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1−0.120 = 0.880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0.880 ÷ 3.621 = 24.3%</w:t>
            </w:r>
          </w:p>
        </w:tc>
      </w:tr>
      <w:tr>
        <w:tc>
          <w:tcPr>
            <w:tcW w:type="dxa" w:w="144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0.046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1−0.046 = 0.954</w:t>
            </w:r>
          </w:p>
        </w:tc>
        <w:tc>
          <w:tcPr>
            <w:tcW w:type="dxa" w:w="388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0.954 ÷ 3.621 = 26.3%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产业承接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1−0.111 = 0.889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0.889 ÷ 3.621 = 24.6%</w:t>
            </w:r>
          </w:p>
        </w:tc>
      </w:tr>
      <w:tr>
        <w:tc>
          <w:tcPr>
            <w:tcW w:type="dxa" w:w="144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产业转化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0.102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1−0.102 = 0.898</w:t>
            </w:r>
          </w:p>
        </w:tc>
        <w:tc>
          <w:tcPr>
            <w:tcW w:type="dxa" w:w="3888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0.898 ÷ 3.621 = 24.8%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合计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3.621（总偏离）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100%</w:t>
            </w:r>
          </w:p>
        </w:tc>
      </w:tr>
    </w:tbl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龙岩四环节 vₖ 都很低（0.05–0.12）→ 偏离度都大且彼此接近（0.88–0.95）→ 除以总偏离后各≈25%。这正是腹地“各占 25%”的来历：不是巧合，而是四环节差得差不多（故其主障碍判为弱信号，见 5.3）。</w:t>
      </w:r>
    </w:p>
    <w:p>
      <w:pPr>
        <w:spacing w:before="8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两点补充：①vₖ 来自该环节人均值在全样本（9市×6年）的 min-max 位置，0=最低、1=前沿；②学术式“障碍度=因子贡献度×指标偏离度”中，贡献度=权重×偏离度，本文四环节等权（各 1/4），归一化时 1/4 上下抵消，故份额 = (1−vₖ)/Σ(1−vⱼ)——等权下权重不影响份额。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88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obsta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8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图3  障碍度四环节构成（B口径，2024）。双核障碍集中单侧，腹地多市四环节近均分。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5.3  障碍度检验：min-max 压缩效应及其修正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检验动机：图3 中腹地多市四环节障碍度近似各占 25%，需检验其是否为真实“均衡薄弱”，抑或方法假象。</w:t>
      </w:r>
    </w:p>
    <w:p>
      <w:pPr>
        <w:spacing w:line="336" w:lineRule="auto"/>
      </w:pPr>
      <w:r>
        <w:rPr>
          <w:rFonts w:ascii="Songti SC" w:hAnsi="Songti SC" w:eastAsia="Songti SC"/>
          <w:b/>
          <w:sz w:val="20"/>
        </w:rPr>
        <w:t>机制诊断：</w:t>
      </w:r>
      <w:r>
        <w:rPr>
          <w:rFonts w:ascii="Songti SC" w:hAnsi="Songti SC" w:eastAsia="Songti SC"/>
          <w:b w:val="0"/>
          <w:sz w:val="20"/>
        </w:rPr>
        <w:t>障碍度份额 = (1−vₖ)/Σ(1−vⱼ)。由于福州、厦门占据 min-max 的上界，全部腹地城市被压缩进 [0, 0.29] 的底部区间（见 5.1 表）。在该压缩区内，若一城四环节标准化值彼此接近（如南平 0.034/0.046/0.055/0.026，极差仅 0.029），则 (1−vₖ) 皆≈0.9 → 障碍份额机械地皆≈25%，其“主障碍”由第三位小数决定，本质为噪声。（min-max 因时空范围影响标准化、产生可比性限制，以及子系统全取最小值时标准化为 0 的零值问题，王淑佳等（2021）亦有论及。）</w:t>
      </w:r>
    </w:p>
    <w:p>
      <w:pPr>
        <w:spacing w:line="336" w:lineRule="auto"/>
      </w:pPr>
      <w:r>
        <w:rPr>
          <w:rFonts w:ascii="Songti SC" w:hAnsi="Songti SC" w:eastAsia="Songti SC"/>
          <w:b/>
          <w:sz w:val="20"/>
        </w:rPr>
        <w:t>判定准则（极差阈值）：</w:t>
      </w:r>
      <w:r>
        <w:rPr>
          <w:rFonts w:ascii="Songti SC" w:hAnsi="Songti SC" w:eastAsia="Songti SC"/>
          <w:b w:val="0"/>
          <w:sz w:val="20"/>
        </w:rPr>
        <w:t>以四环节标准化值的极差作为障碍可辨性指标。极差&gt;0.16（福州、厦门、泉州、宁德、漳州、莆田）的城市，存在可识别的主障碍，分解可信；极差&lt;0.08（龙岩、三明、南平）的城市，四环节同步贴近地板、无显著单一卡点，其主障碍标注应判为弱信号。“各占 25%”仅对后 3 市成立——这本身是发现（四环节同步赤贫的发育不足），而非可分解的结构性偏科。</w:t>
      </w:r>
    </w:p>
    <w:p>
      <w:pPr>
        <w:spacing w:line="336" w:lineRule="auto"/>
      </w:pPr>
      <w:r>
        <w:rPr>
          <w:rFonts w:ascii="Songti SC" w:hAnsi="Songti SC" w:eastAsia="Songti SC"/>
          <w:b/>
          <w:sz w:val="20"/>
        </w:rPr>
        <w:t>修正与稳健性：</w:t>
      </w:r>
      <w:r>
        <w:rPr>
          <w:rFonts w:ascii="Songti SC" w:hAnsi="Songti SC" w:eastAsia="Songti SC"/>
          <w:b w:val="0"/>
          <w:sz w:val="20"/>
        </w:rPr>
        <w:t>①报告障碍度时并列极差/集中度，对极差&lt;0.08 的城市标注“四环节均衡薄弱·无显著主卡点”，不强行指定主障碍（本文表与图已据此将龙岩/三明/南平标为弱信号）；②稳健性可对障碍度改用不压缩底部的标准化（秩标准化、对数化或对绝对理想值的偏离），复核腹地主障碍排序是否稳定。该检验表明：双核的障碍诊断稳健，腹地的障碍“方向”多数可辨（宁德、莆田卡供给质量等），但其“份额量值”受 min-max 压缩、不宜过度解读。</w:t>
      </w:r>
    </w:p>
    <w:p>
      <w:pPr>
        <w:spacing w:before="120" w:after="40" w:line="348" w:lineRule="auto"/>
        <w:jc w:val="both"/>
      </w:pPr>
      <w:r>
        <w:rPr>
          <w:rFonts w:ascii="Songti SC" w:hAnsi="Songti SC" w:eastAsia="Songti SC"/>
          <w:b/>
          <w:sz w:val="20"/>
        </w:rPr>
        <w:t>修正落地——双轨障碍诊断（数据处理）：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第①步，取四环节人均值（供给规模/产业承接/产业转化÷常住人口；供给质量为计数）。第②步（轨A·全样本）：在全 9 市×6 年共 54 个单元上对每个环节做 min-max，得 vₖᴬ，衡量“该市离全省前沿的差距”。第③步（轨B·腹地组内）：剔除福州、厦门，仅在腹地 7 市×6 年共 42 个单元上对每个环节重新 min-max，得 vₖᴮ，衡量“腹地城市彼此之间的相对短板”。第④步：两轨各自代入同一障碍度公式(1−vₖ)/Σ(1−vⱼ)，得各自主障碍。轨B 因剔除了双核极值，腹地四环节不再被压到地板，标准化值极差大幅放大。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检验过程：逐市比较轨A 与轨B 的主障碍是否一致——一致则该市诊断稳健（两种基准都指向同一短板）；不一致则说明其主障碍受标准化基准影响，须分别表述。下表同时列两轨主障碍与极差（极差越大、主障碍越可辨）。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0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市</w:t>
            </w:r>
          </w:p>
        </w:tc>
        <w:tc>
          <w:tcPr>
            <w:tcW w:type="dxa" w:w="273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轨A 全样本主障碍</w:t>
            </w:r>
          </w:p>
        </w:tc>
        <w:tc>
          <w:tcPr>
            <w:tcW w:type="dxa" w:w="302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轨B 腹地组内主障碍</w:t>
            </w:r>
          </w:p>
        </w:tc>
        <w:tc>
          <w:tcPr>
            <w:tcW w:type="dxa" w:w="144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是否一致</w:t>
            </w:r>
          </w:p>
        </w:tc>
        <w:tc>
          <w:tcPr>
            <w:tcW w:type="dxa" w:w="122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极差A</w:t>
            </w:r>
          </w:p>
        </w:tc>
        <w:tc>
          <w:tcPr>
            <w:tcW w:type="dxa" w:w="122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极差B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泉州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产业承接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产业承接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一致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0.231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0.694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龙岩</w:t>
            </w:r>
          </w:p>
        </w:tc>
        <w:tc>
          <w:tcPr>
            <w:tcW w:type="dxa" w:w="273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30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一致</w:t>
            </w:r>
          </w:p>
        </w:tc>
        <w:tc>
          <w:tcPr>
            <w:tcW w:type="dxa" w:w="12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0.074</w:t>
            </w:r>
          </w:p>
        </w:tc>
        <w:tc>
          <w:tcPr>
            <w:tcW w:type="dxa" w:w="12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0.383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三明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产业转化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产业转化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一致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0.056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0.242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莆田</w:t>
            </w:r>
          </w:p>
        </w:tc>
        <w:tc>
          <w:tcPr>
            <w:tcW w:type="dxa" w:w="273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30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一致</w:t>
            </w:r>
          </w:p>
        </w:tc>
        <w:tc>
          <w:tcPr>
            <w:tcW w:type="dxa" w:w="12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0.163</w:t>
            </w:r>
          </w:p>
        </w:tc>
        <w:tc>
          <w:tcPr>
            <w:tcW w:type="dxa" w:w="12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0.296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宁德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供给质量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一致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0.226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0.966</w:t>
            </w:r>
          </w:p>
        </w:tc>
      </w:tr>
      <w:tr>
        <w:tc>
          <w:tcPr>
            <w:tcW w:type="dxa" w:w="10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漳州</w:t>
            </w:r>
          </w:p>
        </w:tc>
        <w:tc>
          <w:tcPr>
            <w:tcW w:type="dxa" w:w="273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产业承接</w:t>
            </w:r>
          </w:p>
        </w:tc>
        <w:tc>
          <w:tcPr>
            <w:tcW w:type="dxa" w:w="30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供给规模</w:t>
            </w:r>
          </w:p>
        </w:tc>
        <w:tc>
          <w:tcPr>
            <w:tcW w:type="dxa" w:w="144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不一致</w:t>
            </w:r>
          </w:p>
        </w:tc>
        <w:tc>
          <w:tcPr>
            <w:tcW w:type="dxa" w:w="12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0.206</w:t>
            </w:r>
          </w:p>
        </w:tc>
        <w:tc>
          <w:tcPr>
            <w:tcW w:type="dxa" w:w="122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0.956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8"/>
              </w:rPr>
              <w:t>南平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产业转化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供给规模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不一致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0.029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8"/>
              </w:rPr>
              <w:t>0.225</w:t>
            </w:r>
          </w:p>
        </w:tc>
      </w:tr>
    </w:tbl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7 市中 5 市两轨一致（诊断稳健）；漳州、南平两轨不一致——全样本主障碍反映“离全省前沿”的最大缺口，组内主障碍反映“腹地内部”相对短板，二者并存须分别表述，不可简单择一。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5.4  典型个案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福厦镜像：</w:t>
      </w:r>
      <w:r>
        <w:rPr>
          <w:rFonts w:ascii="Songti SC" w:hAnsi="Songti SC" w:eastAsia="Songti SC"/>
          <w:b w:val="0"/>
          <w:sz w:val="20"/>
        </w:rPr>
        <w:t>双核同为高协调，障碍却分处两端：福州待产业（转化）承接其人才，厦门待教育（规模）扩张其供给。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宁德：</w:t>
      </w:r>
      <w:r>
        <w:rPr>
          <w:rFonts w:ascii="Songti SC" w:hAnsi="Songti SC" w:eastAsia="Songti SC"/>
          <w:b w:val="0"/>
          <w:sz w:val="20"/>
        </w:rPr>
        <w:t>产业指数（0.137，宁德时代专利井喷拉动）远高于教育指数（0.005），主障碍为供给质量——产业先行、本地教育尚未接续。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莆田：</w:t>
      </w:r>
      <w:r>
        <w:rPr>
          <w:rFonts w:ascii="Songti SC" w:hAnsi="Songti SC" w:eastAsia="Songti SC"/>
          <w:b w:val="0"/>
          <w:sz w:val="20"/>
        </w:rPr>
        <w:t>耦合度逐年下滑（0.338→0.244），与其招生规模 2021 年后收缩一致，主障碍为供给质量。</w:t>
      </w:r>
    </w:p>
    <w:p>
      <w:pPr>
        <w:spacing w:after="60" w:line="336" w:lineRule="auto"/>
      </w:pPr>
      <w:r>
        <w:rPr>
          <w:rFonts w:ascii="Songti SC" w:hAnsi="Songti SC" w:eastAsia="Songti SC"/>
          <w:b/>
          <w:sz w:val="20"/>
        </w:rPr>
        <w:t>泉州型口径漏洞：</w:t>
      </w:r>
      <w:r>
        <w:rPr>
          <w:rFonts w:ascii="Songti SC" w:hAnsi="Songti SC" w:eastAsia="Songti SC"/>
          <w:b w:val="0"/>
          <w:sz w:val="20"/>
        </w:rPr>
        <w:t>泉州 E&gt;I 系“AI 数字产业”指标定义所致（其信息软件业从业、AI 专利人均仅为福厦的约 1/8）；但泉州制造业内嵌的 AI 人才吸纳（智能制造）计入门类 C、不在门类 I，故产业承接对制造业大市存在系统性低估，宜以“制造业数字化就业”作稳健性补充。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5.5  权重稳健性：等权与熵值法对照</w:t>
      </w:r>
    </w:p>
    <w:p>
      <w:pPr>
        <w:spacing w:before="40" w:after="4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四环节是否等权？本文以等权为基准（四环节在功能链中地位等同，任一缺失即失调），并以熵值法作稳健性。</w:t>
      </w:r>
    </w:p>
    <w:p>
      <w:pPr>
        <w:spacing w:before="40" w:after="40" w:line="348" w:lineRule="auto"/>
        <w:jc w:val="both"/>
      </w:pPr>
      <w:r>
        <w:rPr>
          <w:rFonts w:ascii="Songti SC" w:hAnsi="Songti SC" w:eastAsia="Songti SC"/>
          <w:b/>
          <w:sz w:val="20"/>
        </w:rPr>
        <w:t>熵值法权重的数据处理（按环节 j 逐列计算）：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第①步，取该环节在全样本 54 个单元的标准化值 vᵢ。第②步，归一为比重 pᵢ = vᵢ / Σᵢvᵢ。第③步，算信息熵 eⱼ = −(1/ln n)·Σᵢ pᵢ·ln pᵢ（n=54；约定 pᵢ=0 时该项为 0）——某环节城际差异越小，熵越大。第④步，算信息效用 dⱼ = 1−eⱼ（差异越大、效用越大）。第⑤步，归一为权重 wⱼ = dⱼ / Σⱼdⱼ。所得四环节熵权如下表。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</w:tblGrid>
      <w:tr>
        <w:tc>
          <w:tcPr>
            <w:tcW w:type="dxa" w:w="316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熵值法权重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等权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供给规模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0.170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0.250</w:t>
            </w:r>
          </w:p>
        </w:tc>
      </w:tr>
      <w:tr>
        <w:tc>
          <w:tcPr>
            <w:tcW w:type="dxa" w:w="316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供给质量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0.296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产业承接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0.246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0.250</w:t>
            </w:r>
          </w:p>
        </w:tc>
      </w:tr>
      <w:tr>
        <w:tc>
          <w:tcPr>
            <w:tcW w:type="dxa" w:w="316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产业转化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0.289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0.250</w:t>
            </w:r>
          </w:p>
        </w:tc>
      </w:tr>
    </w:tbl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以熵权重算 2024 年 D：双核（福州、厦门）在两种权重下均稳居前 2，9 市排名仅三明与漳州相邻互换、D 值几乎不变（福州 0.936→0.934、厦门 0.913→0.927）。结论：双核—腹地格局对权重选择稳健，等权法作主模型成立。熵值法下供给规模权重偏低、供给质量/产业转化偏高，源于福厦在后两者上离散度更大——故熵值法宜作稳健性而非唯一主模型。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六、功能链局部耦合检验：整体协调是否掩盖链节断裂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整体 E-I 耦合协调度反映系统总体匹配，却可能掩盖功能链内部链节之间的断裂或遮蔽。CCD 本质是测两个子系统的协调；将其用于子系统两两配对（pairwise CCD）已有先例——张等（2025）即对四个韧性子系统构造六个二元 CCD 诊断其互配。本文据此对四环节两两构造“局部耦合协调度”，识别哪两个环节之间错配。公式同整体 CCD：D_ab=√(K·T)，K=2√(vₐ·v_b)/(vₐ+v_b)（同步度）、T=(vₐ+v_b)/2（综合水平）。主文取四组理论意义最强的链节（其余两对 D₁₄、D₂₃ 见本节末附录，与张等做满 C(4,2)=6 对对齐）：</w:t>
      </w:r>
    </w:p>
    <w:p>
      <w:pPr>
        <w:spacing w:before="20" w:after="0" w:line="348" w:lineRule="auto"/>
        <w:jc w:val="both"/>
      </w:pPr>
      <w:r>
        <w:rPr>
          <w:rFonts w:ascii="Songti SC" w:hAnsi="Songti SC" w:eastAsia="Songti SC"/>
          <w:b w:val="0"/>
          <w:sz w:val="19"/>
        </w:rPr>
        <w:t xml:space="preserve">　D₁₂=CCD(供给规模, 供给质量)——教育内部：是否既有培养规模又有培养质量；</w:t>
      </w:r>
    </w:p>
    <w:p>
      <w:pPr>
        <w:spacing w:before="0" w:after="0" w:line="348" w:lineRule="auto"/>
        <w:jc w:val="both"/>
      </w:pPr>
      <w:r>
        <w:rPr>
          <w:rFonts w:ascii="Songti SC" w:hAnsi="Songti SC" w:eastAsia="Songti SC"/>
          <w:b w:val="0"/>
          <w:sz w:val="19"/>
        </w:rPr>
        <w:t xml:space="preserve">　D₃₄=CCD(产业承接, 产业转化)——产业内部：是否既能吸纳人才又能转化为创新；</w:t>
      </w:r>
    </w:p>
    <w:p>
      <w:pPr>
        <w:spacing w:before="0" w:after="0" w:line="348" w:lineRule="auto"/>
        <w:jc w:val="both"/>
      </w:pPr>
      <w:r>
        <w:rPr>
          <w:rFonts w:ascii="Songti SC" w:hAnsi="Songti SC" w:eastAsia="Songti SC"/>
          <w:b w:val="0"/>
          <w:sz w:val="19"/>
        </w:rPr>
        <w:t xml:space="preserve">　D₁₃=CCD(供给规模, 产业承接)——数量供需：本地培养的人才规模能否被本地产业接住；</w:t>
      </w:r>
    </w:p>
    <w:p>
      <w:pPr>
        <w:spacing w:before="0" w:after="40" w:line="348" w:lineRule="auto"/>
        <w:jc w:val="both"/>
      </w:pPr>
      <w:r>
        <w:rPr>
          <w:rFonts w:ascii="Songti SC" w:hAnsi="Songti SC" w:eastAsia="Songti SC"/>
          <w:b w:val="0"/>
          <w:sz w:val="19"/>
        </w:rPr>
        <w:t xml:space="preserve">　D₂₄=CCD(供给质量, 产业转化)——质量转化：高质量教育供给能否支撑本地创新转化。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472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ocalcc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7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图5  整体 CCD 与四组功能链局部 CCD（B口径，2024）。竖线左为整体 D，右为四组局部链节。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</w:tblGrid>
      <w:tr>
        <w:tc>
          <w:tcPr>
            <w:tcW w:type="dxa" w:w="792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市</w:t>
            </w:r>
          </w:p>
        </w:tc>
        <w:tc>
          <w:tcPr>
            <w:tcW w:type="dxa" w:w="10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整体D</w:t>
            </w:r>
          </w:p>
        </w:tc>
        <w:tc>
          <w:tcPr>
            <w:tcW w:type="dxa" w:w="194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D₁₂教育内部</w:t>
            </w:r>
          </w:p>
        </w:tc>
        <w:tc>
          <w:tcPr>
            <w:tcW w:type="dxa" w:w="194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D₃₄产业内部</w:t>
            </w:r>
          </w:p>
        </w:tc>
        <w:tc>
          <w:tcPr>
            <w:tcW w:type="dxa" w:w="194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D₁₃数量供需</w:t>
            </w:r>
          </w:p>
        </w:tc>
        <w:tc>
          <w:tcPr>
            <w:tcW w:type="dxa" w:w="194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D₂₄质量转化</w:t>
            </w:r>
          </w:p>
        </w:tc>
        <w:tc>
          <w:tcPr>
            <w:tcW w:type="dxa" w:w="237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分型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福州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0.936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1.000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0.874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0.962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0.908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全链协调</w:t>
            </w:r>
          </w:p>
        </w:tc>
      </w:tr>
      <w:tr>
        <w:tc>
          <w:tcPr>
            <w:tcW w:type="dxa" w:w="792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厦门</w:t>
            </w:r>
          </w:p>
        </w:tc>
        <w:tc>
          <w:tcPr>
            <w:tcW w:type="dxa" w:w="10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0.913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0.835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0.988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0.856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0.964</w:t>
            </w:r>
          </w:p>
        </w:tc>
        <w:tc>
          <w:tcPr>
            <w:tcW w:type="dxa" w:w="237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全链协调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泉州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0.363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0.506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0.258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0.361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0.362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局部优势·总体低位</w:t>
            </w:r>
          </w:p>
        </w:tc>
      </w:tr>
      <w:tr>
        <w:tc>
          <w:tcPr>
            <w:tcW w:type="dxa" w:w="792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龙岩</w:t>
            </w:r>
          </w:p>
        </w:tc>
        <w:tc>
          <w:tcPr>
            <w:tcW w:type="dxa" w:w="10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0.306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0.272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0.326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0.340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0.261</w:t>
            </w:r>
          </w:p>
        </w:tc>
        <w:tc>
          <w:tcPr>
            <w:tcW w:type="dxa" w:w="237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全链低位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三明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0.255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0.257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0.237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0.295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0.207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全链低位</w:t>
            </w:r>
          </w:p>
        </w:tc>
      </w:tr>
      <w:tr>
        <w:tc>
          <w:tcPr>
            <w:tcW w:type="dxa" w:w="792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漳州</w:t>
            </w:r>
          </w:p>
        </w:tc>
        <w:tc>
          <w:tcPr>
            <w:tcW w:type="dxa" w:w="10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0.254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0.272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0.177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0.151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0.318</w:t>
            </w:r>
          </w:p>
        </w:tc>
        <w:tc>
          <w:tcPr>
            <w:tcW w:type="dxa" w:w="237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全链低位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莆田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0.244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0.000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0.208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0.299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0.000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全链低位</w:t>
            </w:r>
          </w:p>
        </w:tc>
      </w:tr>
      <w:tr>
        <w:tc>
          <w:tcPr>
            <w:tcW w:type="dxa" w:w="792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南平</w:t>
            </w:r>
          </w:p>
        </w:tc>
        <w:tc>
          <w:tcPr>
            <w:tcW w:type="dxa" w:w="10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0.200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0.199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0.194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0.209</w:t>
            </w:r>
          </w:p>
        </w:tc>
        <w:tc>
          <w:tcPr>
            <w:tcW w:type="dxa" w:w="194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0.185</w:t>
            </w:r>
          </w:p>
        </w:tc>
        <w:tc>
          <w:tcPr>
            <w:tcW w:type="dxa" w:w="237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全链低位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宁德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0.159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0.000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0.324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0.146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0.000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全链低位</w:t>
            </w:r>
          </w:p>
        </w:tc>
      </w:tr>
    </w:tbl>
    <w:p>
      <w:pPr>
        <w:spacing w:before="8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结果与解读：①双核“全链协调”、无明显断裂——但相对薄弱链节恰与障碍度呼应：福州最弱在产业内部（D₃₄=0.874）、厦门最弱在教育内部（D₁₂=0.835），说明其高协调并非掩盖断裂的假象。②泉州“局部优势·总体低位”：教育内部 D₁₂=0.506明显高于其余链节，即“教育端内部尚协调、但产业接不住”，是可培育的突破口。③莆田、宁德的 D₁₂、D₂₄=0——因其供给质量标准化值为 0（无一流专业），凡含质量的链节即“断裂”（此为 CCD 零值地板，须注明系“质量链节缺失”而非负向错配）。④龙岩、三明、南平四组局部 CCD 同步低位（“全链低位”），印证其失调是功能链整体发育不足、而非单点错配。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稳健性（腹地组内双轨）：剔除福厦、在腹地 7 市内部重标后重算局部 CCD，可恢复被压缩掩盖的腹地链节结构——泉州最弱仍为产业内部、漳州最弱为数量供需（D₁₃，因供给规模过低）、龙岩与南平最弱为教育内部。说明腹地“全链低位”之下，各市仍有可识别的相对短板链节，但其量值受 min-max 压缩、宜结合双轨解读。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与障碍度的关系：障碍度回答“哪个环节是最短板（单点）”，局部 CCD 回答“哪两个环节之间断裂（链节）”，二者互补。例：障碍度示福州主障碍为产业转化，局部 CCD 进一步显示其产业内部 D₃₄ 相对最低——福州的问题不止于产业转化单点，而是“承接—转化”产业内部链节尚未完全打通。</w:t>
      </w:r>
    </w:p>
    <w:p>
      <w:pPr>
        <w:spacing w:before="60" w:after="40" w:line="348" w:lineRule="auto"/>
        <w:jc w:val="both"/>
      </w:pPr>
      <w:r>
        <w:rPr>
          <w:rFonts w:ascii="Songti SC" w:hAnsi="Songti SC" w:eastAsia="Songti SC"/>
          <w:b w:val="0"/>
          <w:sz w:val="18"/>
        </w:rPr>
        <w:t>附：其余两对链节（理论意义较弱，列此以补足 C(4,2)=6 对）——D₁₄ 规模—转化、D₂₃ 质量—承接（2024，B口径）。结论与主文一致：双核高、腹地低；莆田、宁德 D₂₃=0 因供给质量缺失。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</w:tblGrid>
      <w:tr>
        <w:tc>
          <w:tcPr>
            <w:tcW w:type="dxa" w:w="201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市</w:t>
            </w:r>
          </w:p>
        </w:tc>
        <w:tc>
          <w:tcPr>
            <w:tcW w:type="dxa" w:w="28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D₁₄ 规模—转化</w:t>
            </w:r>
          </w:p>
        </w:tc>
        <w:tc>
          <w:tcPr>
            <w:tcW w:type="dxa" w:w="28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D₂₃ 质量—承接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福州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0.962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厦门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0.866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0.953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泉州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0.339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龙岩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0.332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三明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0.245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漳州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0.181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0.265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莆田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0.000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南平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0.173</w:t>
            </w:r>
          </w:p>
        </w:tc>
        <w:tc>
          <w:tcPr>
            <w:tcW w:type="dxa" w:w="288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0.224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宁德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0.000</w:t>
            </w:r>
          </w:p>
        </w:tc>
      </w:tr>
    </w:tbl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七、空间扩展：基于边界约束的区域组合协同检验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“双核—腹地”是按行政市的静态分化，但 AI 人才供需匹配未必止于行政边界。然而空间协同须以现实边界为前提——任意自由组合即使指标上协调度高，缺乏地理或功能联系也难解释为真实协同（可变空间单元问题 MAUP，Openshaw，1984；空间连续性约束下的区域化思想，Assunção 等，2006）。故本文采用“边界约束的区域组合检验”：以有现实依据的组合为主检验对象，全部随机组合仅作安慰剂参照分布。边界依据三类——A 地理邻接；B 既有规划（福建省级闽东北/闽西南协同发展区、福州都市圈、厦漳泉）；C 理论互补（福州—厦门双核镜像，非地理邻接但结构互补）。该法零新数据、不依赖空间权重矩阵。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7.1  区域指标的计算（人口加权聚合 + 手算示范）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对每个三市组合，将三市并为一个区域，按人口加权聚合区域指数（pᵢ 为城市常住人口）：E_组 = Σpᵢ·Eᵢ / Σpᵢ，I_组 = Σpᵢ·Iᵢ / Σpᵢ。用人口加权而非简单平均，是因为对人均化环节，人口加权平均恰好等于“三市合并后的人均值”（min-max 为线性变换，Σpᵢvᵢ/Σpᵢ = mm(Σcount/Σpop)），且沿用 9 市原 min-max 基准，故 D_组 与单市 Dᵢ 同尺度可比。下以厦漳泉 2024 为例逐步算三指标。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三市输入（取 4 位小数以便复核）：厦门 E=0.7127、I=0.9768、D=0.9135、人口 535；漳州 E=0.1257、I=0.0333、D=0.2544、人口 508；泉州 E=0.2584、I=0.0670、D=0.3627、人口 891。总人口 P=1934。</w:t>
      </w:r>
    </w:p>
    <w:p>
      <w:pPr>
        <w:spacing w:before="60" w:after="20" w:line="348" w:lineRule="auto"/>
        <w:jc w:val="both"/>
      </w:pPr>
      <w:r>
        <w:rPr>
          <w:rFonts w:ascii="Songti SC" w:hAnsi="Songti SC" w:eastAsia="Songti SC"/>
          <w:b/>
          <w:sz w:val="19"/>
        </w:rPr>
        <w:t>① 区域协调度 D_组 = √(C·T)，其中 C=2√(E_组·I_组)/(E_组+I_组)、T=(E_组+I_组)/2：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E_组=(535×0.7127+508×0.1257+891×0.2584)/1934 = 0.3492；I_组=(535×0.9768+508×0.0333+891×0.0670)/1934 = 0.3098；C=0.9982、T=0.3295 → D_组=√(0.9982×0.3295)=0.5735。含义：把三市视为一个区域整体时的耦合协调度。</w:t>
      </w:r>
    </w:p>
    <w:p>
      <w:pPr>
        <w:spacing w:before="40" w:after="20" w:line="348" w:lineRule="auto"/>
        <w:jc w:val="both"/>
      </w:pPr>
      <w:r>
        <w:rPr>
          <w:rFonts w:ascii="Songti SC" w:hAnsi="Songti SC" w:eastAsia="Songti SC"/>
          <w:b/>
          <w:sz w:val="19"/>
        </w:rPr>
        <w:t>② 区域协同溢价 RSP = D_组 − mean(Dᵢ)：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mean(Dᵢ)=(0.9135+0.2544+0.3627)/3 = 0.5102 → RSP = 0.5735−0.5102 = +0.063。含义：组团后的协调度，比三市“各自单干的平均水平”高多少；&gt;0 表示组团优于单市平均。注意：强市配弱市也会把该值抬高，故 RSP 含“带动”成分，非纯互补。</w:t>
      </w:r>
    </w:p>
    <w:p>
      <w:pPr>
        <w:spacing w:before="40" w:after="20" w:line="348" w:lineRule="auto"/>
        <w:jc w:val="both"/>
      </w:pPr>
      <w:r>
        <w:rPr>
          <w:rFonts w:ascii="Songti SC" w:hAnsi="Songti SC" w:eastAsia="Songti SC"/>
          <w:b/>
          <w:sz w:val="19"/>
        </w:rPr>
        <w:t>③ 均衡改善度 BI = mean(|Eᵢ−Iᵢ|) − |E_组−I_组|：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mean|Eᵢ−Iᵢ|=(|0.7127−0.9768|+|0.1257−0.0333|+|0.2584−0.0670|)/3=(0.2641+0.0924+0.1914)/3 = 0.1826；|E_组−I_组|=|0.3492−0.3098| = 0.0394 → BI = 0.1826−0.0394 = +0.143。含义：三市各自的“教育—产业缺口（|E−I|）”平均有多大，组团后区域缺口缩到多小；BI 越大 = 三市供需越互补、组团后越均衡。BI 是协同互补的主指标。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7.2  边界约束组合的检验结果</w:t>
      </w:r>
    </w:p>
    <w:p>
      <w:pPr>
        <w:spacing w:before="40" w:after="4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对每个边界组合，在其同规模的全部随机组合（安慰剂参照）中看 D_S/RSP/BI 的分位（同规模比较，避免组合大小不可比）。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8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边界组合</w:t>
            </w:r>
          </w:p>
        </w:tc>
        <w:tc>
          <w:tcPr>
            <w:tcW w:type="dxa" w:w="86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D_S（分位）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RSP（分位）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BI（分位）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协同类型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福州—厦门（跨核互补）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1/36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27/36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1/36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水平+互补双第一</w:t>
            </w:r>
          </w:p>
        </w:tc>
      </w:tr>
      <w:tr>
        <w:tc>
          <w:tcPr>
            <w:tcW w:type="dxa" w:w="288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厦漳泉（都市圈）</w:t>
            </w:r>
          </w:p>
        </w:tc>
        <w:tc>
          <w:tcPr>
            <w:tcW w:type="dxa" w:w="86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3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49/84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53/84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5/84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互补型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福州都市圈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17/84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4/84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32/84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带动型</w:t>
            </w:r>
          </w:p>
        </w:tc>
      </w:tr>
      <w:tr>
        <w:tc>
          <w:tcPr>
            <w:tcW w:type="dxa" w:w="288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闽东北协同区</w:t>
            </w:r>
          </w:p>
        </w:tc>
        <w:tc>
          <w:tcPr>
            <w:tcW w:type="dxa" w:w="86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4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31/126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2/126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78/126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带动型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闽西南协同区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97/126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105/126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29/126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大区·被稀释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16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mu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color w:val="666666"/>
          <w:sz w:val="18"/>
        </w:rPr>
        <w:t>图4  厦漳泉在 84 组三市组合（同规模安慰剂分布）中的均衡改善度（BI）排位（B口径，2024）。</w:t>
      </w:r>
    </w:p>
    <w:p>
      <w:pPr>
        <w:spacing w:before="8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三种协同类型浮现，且与双核分工（§7.3）吻合：①福州—厦门“跨核互补”——D_S、BI 在两市组合中均列第 1，双核镜像的结构互补最强（但非地理邻接，故定位为理论互补对照而非都市圈）；②厦漳泉“互补型都市圈”——BI 前 6%，厦门产业领先 + 泉漳教育/承接相对偏强，并区后供需缺口显著缩小；③福州都市圈、闽东北“带动型”——RSP 居同规模前 2–5%，由福州（带动极）高水平拉动周边腹地，但 BI 中低、互补不强；④闽西南大区因纳入龙岩、三明等低水平市被稀释，D_S 仅居后段。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结论边界（重要）：以上为探索性信号，不证明因果协同。各组合分位是“相对同规模随机参照”的位置；BI 高位组合普遍含厦门（厦门=均衡极）、RSP 高位普遍含福州（福州=带动极）。区域协同的因果机制仍需跨市人才流动、企业合作与产业链数据进一步验证。</w:t>
      </w:r>
    </w:p>
    <w:p>
      <w:pPr>
        <w:keepNext/>
        <w:spacing w:before="160" w:after="100"/>
      </w:pPr>
      <w:r>
        <w:rPr>
          <w:rFonts w:ascii="Heiti SC" w:hAnsi="Heiti SC" w:eastAsia="Heiti SC"/>
          <w:b/>
          <w:color w:val="1F3A4A"/>
          <w:sz w:val="25"/>
        </w:rPr>
        <w:t>7.3  安慰剂分布的结构结论（全样本一般规律）</w:t>
      </w:r>
    </w:p>
    <w:p>
      <w:pPr>
        <w:spacing w:before="40" w:after="8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作为安慰剂参照的全部随机组合，其分布结构本身亦提供一般规律。把全部 84 组（三市）按“是否含核心市（福/厦）”“是否跨极（同时含教育领先与产业领先城市）”分组，对组内各组合的指标取“均值”——即该类所有组合的 D_组（或 BI、RSP）的算术平均，反映这一类组合的整体表现。两张对照表导出四条一般结论。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288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组合类型</w:t>
            </w:r>
          </w:p>
        </w:tc>
        <w:tc>
          <w:tcPr>
            <w:tcW w:type="dxa" w:w="129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组数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D_组均值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BI均值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RSP均值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含核心市(福/厦)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0.696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0.186</w:t>
            </w:r>
          </w:p>
        </w:tc>
      </w:tr>
      <w:tr>
        <w:tc>
          <w:tcPr>
            <w:tcW w:type="dxa" w:w="2880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纯腹地(无核心)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35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0.290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0.003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0.035</w:t>
            </w:r>
          </w:p>
        </w:tc>
      </w:tr>
    </w:tbl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结论1（核心主导·腹地难自我协同）：含核心组合 D_组均值 0.696 是纯腹地 0.290 的 2.4 倍；纯腹地 BI 均值≈0，即腹地市彼此组团几乎不产生均衡改善（纯腹地最高 D_组仅 0.352、仍失调）。这为“腹地弱联动”提供反事实证据——“低+低”在结构上既到不了协调、也无互补空间；腹地需接入核心，而非抱团取暖。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4608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组合类型</w:t>
            </w:r>
          </w:p>
        </w:tc>
        <w:tc>
          <w:tcPr>
            <w:tcW w:type="dxa" w:w="129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组数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BI均值</w:t>
            </w:r>
          </w:p>
        </w:tc>
        <w:tc>
          <w:tcPr>
            <w:tcW w:type="dxa" w:w="2160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RSP均值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跨极(含教育领先+产业领先)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+0.040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0.122</w:t>
            </w:r>
          </w:p>
        </w:tc>
      </w:tr>
      <w:tr>
        <w:tc>
          <w:tcPr>
            <w:tcW w:type="dxa" w:w="4608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9"/>
              </w:rPr>
              <w:t>不跨极</w:t>
            </w:r>
          </w:p>
        </w:tc>
        <w:tc>
          <w:tcPr>
            <w:tcW w:type="dxa" w:w="1296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24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−0.034</w:t>
            </w:r>
          </w:p>
        </w:tc>
        <w:tc>
          <w:tcPr>
            <w:tcW w:type="dxa" w:w="2160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0.126</w:t>
            </w:r>
          </w:p>
        </w:tc>
      </w:tr>
    </w:tbl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结论2（镜像即引擎）：跨极组合 BI 均值为正(+0.040)、不跨极为负(−0.034，组团后反而更不均衡)——均衡改善来自“跨越教育领先↔产业领先”的配对，福州/厦门镜像不只是描述，而是区域协同的物理引擎。两类 RSP 几乎相同(0.122 vs 0.126) → RSP 不区分互补、BI 才区分。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结论3（三指标各测一事）：D_组测“水平”（Top5 全含福厦）、RSP 测“带动幅度”（Top5 全含福州、本质强配弱、部分机械）、BI 测“互补均衡”（Top5 多含厦门）。故协同互补以 BI 为准、RSP 仅作辅。</w:t>
      </w:r>
    </w:p>
    <w:p>
      <w:pPr>
        <w:spacing w:before="40" w:after="80" w:line="348" w:lineRule="auto"/>
        <w:ind w:firstLine="380"/>
        <w:jc w:val="both"/>
      </w:pPr>
      <w:r>
        <w:rPr>
          <w:rFonts w:ascii="Songti SC" w:hAnsi="Songti SC" w:eastAsia="Songti SC"/>
          <w:b w:val="0"/>
          <w:sz w:val="19"/>
        </w:rPr>
        <w:t>结论4（双核分工）：进 RSP 前 10 的组合 100% 含福州（福州 D 最高、带动区域水平）→ 福州是“带动极”；进 BI 前 10 的组合 100% 含厦门（厦门极端产业领先、补教育领先伙伴的产业短板）→ 厦门是“均衡极”。两核在空间协同中角色不同：福州以高水平带动、厦门以反向结构均衡。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八、稳健性与局限</w:t>
      </w:r>
    </w:p>
    <w:p>
      <w:pPr>
        <w:spacing w:before="40" w:after="6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权重稳健性见 §5.5（等权 vs 熵值法）。此处再给耦合度形式稳健性：主模型用规范二元耦合度（√式，廖重斌1999/王淑佳等2021）；另以 ε 下限（min-max 映射至 [0.01,1]，缓解零值地板）与平方式耦合度（4EI/(E+I)²，张等2025）重算2024 年整体 D。结果（下表）：双核（福州、厦门）在三种形式下均稳居前 2，9 市排名与主模型的 Spearman 秩相关均达 0.983，双核—腹地格局对耦合度形式选择稳健。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016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市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主模型 D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ε下限 D</w:t>
            </w:r>
          </w:p>
        </w:tc>
        <w:tc>
          <w:tcPr>
            <w:tcW w:type="dxa" w:w="2304"/>
            <w:shd w:val="clear" w:fill="1F3A4A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平方式C D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福州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0.936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0.937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0.932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厦门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0.913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0.914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0.908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泉州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0.363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0.377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0.326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龙岩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0.306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0.321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0.305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三明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0.273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0.254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漳州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0.254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0.276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0.230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莆田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0.244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0.263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0.238</w:t>
            </w:r>
          </w:p>
        </w:tc>
      </w:tr>
      <w:tr>
        <w:tc>
          <w:tcPr>
            <w:tcW w:type="dxa" w:w="2016"/>
            <w:shd w:val="clear" w:fill="F2F5F7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南平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0.200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0.223</w:t>
            </w:r>
          </w:p>
        </w:tc>
        <w:tc>
          <w:tcPr>
            <w:tcW w:type="dxa" w:w="2304"/>
            <w:shd w:val="clear" w:fill="F2F5F7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Songti SC" w:hAnsi="Songti SC" w:eastAsia="Songti SC"/>
                <w:b w:val="0"/>
                <w:sz w:val="17"/>
              </w:rPr>
              <w:t>宁德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0.159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0.215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sz w:val="17"/>
              </w:rPr>
              <w:t>0.095</w:t>
            </w:r>
          </w:p>
        </w:tc>
      </w:tr>
    </w:tbl>
    <w:p>
      <w:pPr>
        <w:spacing w:before="80" w:after="40" w:line="348" w:lineRule="auto"/>
        <w:jc w:val="both"/>
      </w:pPr>
      <w:r>
        <w:rPr>
          <w:rFonts w:ascii="Songti SC" w:hAnsi="Songti SC" w:eastAsia="Songti SC"/>
          <w:b/>
          <w:sz w:val="20"/>
        </w:rPr>
        <w:t>局限：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20"/>
        </w:rPr>
        <w:t xml:space="preserve">· </w:t>
      </w:r>
      <w:r>
        <w:rPr>
          <w:rFonts w:ascii="Songti SC" w:hAnsi="Songti SC" w:eastAsia="Songti SC"/>
          <w:b w:val="0"/>
          <w:sz w:val="20"/>
        </w:rPr>
        <w:t>三口径：C/X 口径作稳健性对照（C 口径一流专业稀疏，近纯规模驱动）。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20"/>
        </w:rPr>
        <w:t xml:space="preserve">· </w:t>
      </w:r>
      <w:r>
        <w:rPr>
          <w:rFonts w:ascii="Songti SC" w:hAnsi="Songti SC" w:eastAsia="Songti SC"/>
          <w:b w:val="0"/>
          <w:sz w:val="20"/>
        </w:rPr>
        <w:t>窗口上界 2024：2025 因年鉴未出版＋专利右截断不纳入；即便 2024，专利亦存轻微右截断，最末 1—2 年产业转化谨慎解读。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20"/>
        </w:rPr>
        <w:t xml:space="preserve">· </w:t>
      </w:r>
      <w:r>
        <w:rPr>
          <w:rFonts w:ascii="Songti SC" w:hAnsi="Songti SC" w:eastAsia="Songti SC"/>
          <w:b w:val="0"/>
          <w:sz w:val="20"/>
        </w:rPr>
        <w:t>回推单元：人口 2019、漳州 2024 产业承接为全省定锚回推，作稳健性起点；莆田 2019 产业承接代理值已剔除。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20"/>
        </w:rPr>
        <w:t xml:space="preserve">· </w:t>
      </w:r>
      <w:r>
        <w:rPr>
          <w:rFonts w:ascii="Songti SC" w:hAnsi="Songti SC" w:eastAsia="Songti SC"/>
          <w:b w:val="0"/>
          <w:sz w:val="20"/>
        </w:rPr>
        <w:t>标准化零值与压缩：min-max 最小值单元 E=0 触发“不可计算”（待定 ε 下限）；底部压缩使腹地障碍份额趋同（见 5.3）。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20"/>
        </w:rPr>
        <w:t xml:space="preserve">· </w:t>
      </w:r>
      <w:r>
        <w:rPr>
          <w:rFonts w:ascii="Songti SC" w:hAnsi="Songti SC" w:eastAsia="Songti SC"/>
          <w:b w:val="0"/>
          <w:sz w:val="20"/>
        </w:rPr>
        <w:t>供给质量：当前复合仅含一流专业成分（0.6），学位点（0.4）待补，补后双核教育指数将进一步抬升。</w:t>
      </w:r>
    </w:p>
    <w:p>
      <w:pPr>
        <w:keepNext/>
        <w:spacing w:before="280" w:after="120"/>
        <w:pBdr>
          <w:bottom w:val="single" w:sz="10" w:space="4" w:color="378ADD"/>
        </w:pBdr>
      </w:pPr>
      <w:r>
        <w:rPr>
          <w:rFonts w:ascii="Heiti SC" w:hAnsi="Heiti SC" w:eastAsia="Heiti SC"/>
          <w:b/>
          <w:color w:val="1F3A4A"/>
          <w:sz w:val="30"/>
        </w:rPr>
        <w:t>九、理论依据与参考文献</w:t>
      </w:r>
    </w:p>
    <w:p>
      <w:pPr>
        <w:spacing w:before="40" w:after="40" w:line="348" w:lineRule="auto"/>
        <w:ind w:firstLine="420"/>
        <w:jc w:val="both"/>
      </w:pPr>
      <w:r>
        <w:rPr>
          <w:rFonts w:ascii="Songti SC" w:hAnsi="Songti SC" w:eastAsia="Songti SC"/>
          <w:b w:val="0"/>
          <w:sz w:val="21"/>
        </w:rPr>
        <w:t>方法的理论依据与出处对应如下（仅列已核实文献；属本文扩展者明示，不附他引）：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18"/>
        </w:rPr>
        <w:t xml:space="preserve">· </w:t>
      </w:r>
      <w:r>
        <w:rPr>
          <w:rFonts w:ascii="Songti SC" w:hAnsi="Songti SC" w:eastAsia="Songti SC"/>
          <w:b w:val="0"/>
          <w:sz w:val="18"/>
        </w:rPr>
        <w:t>整体与局部耦合协调度：方法奠基见 [1]，规范公式与“四类误区”修正见 [2]；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18"/>
        </w:rPr>
        <w:t xml:space="preserve">· </w:t>
      </w:r>
      <w:r>
        <w:rPr>
          <w:rFonts w:ascii="Songti SC" w:hAnsi="Songti SC" w:eastAsia="Songti SC"/>
          <w:b w:val="0"/>
          <w:sz w:val="18"/>
        </w:rPr>
        <w:t>功能链链节两两 CCD（局部 CCD）：子系统两两 CCD 的先例见 [3]；本文将其应用于四环节功能链链节诊断，为本文扩展；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18"/>
        </w:rPr>
        <w:t xml:space="preserve">· </w:t>
      </w:r>
      <w:r>
        <w:rPr>
          <w:rFonts w:ascii="Songti SC" w:hAnsi="Songti SC" w:eastAsia="Songti SC"/>
          <w:b w:val="0"/>
          <w:sz w:val="18"/>
        </w:rPr>
        <w:t>边界约束的区域组合检验：边界先于组合（任意聚合不可比）的依据为 MAUP [4]，空间连续性约束的区域化思想见 [5]；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18"/>
        </w:rPr>
        <w:t xml:space="preserve">· </w:t>
      </w:r>
      <w:r>
        <w:rPr>
          <w:rFonts w:ascii="Songti SC" w:hAnsi="Songti SC" w:eastAsia="Songti SC"/>
          <w:b w:val="0"/>
          <w:sz w:val="18"/>
        </w:rPr>
        <w:t>本文扩展（不附他引）：四环节功能链构造、链节两两断裂诊断、边界约束穷举置换检验（含 RSP/BI 指标）三项为本文方法贡献；</w:t>
      </w:r>
    </w:p>
    <w:p>
      <w:pPr>
        <w:spacing w:after="40" w:line="324" w:lineRule="auto"/>
        <w:ind w:left="360"/>
      </w:pPr>
      <w:r>
        <w:rPr>
          <w:rFonts w:ascii="Songti SC" w:hAnsi="Songti SC" w:eastAsia="Songti SC"/>
          <w:b w:val="0"/>
          <w:sz w:val="18"/>
        </w:rPr>
        <w:t xml:space="preserve">· </w:t>
      </w:r>
      <w:r>
        <w:rPr>
          <w:rFonts w:ascii="Songti SC" w:hAnsi="Songti SC" w:eastAsia="Songti SC"/>
          <w:b w:val="0"/>
          <w:sz w:val="18"/>
        </w:rPr>
        <w:t>待补：障碍度模型、功能城市区（FUA）、置换检验为通用方法，具体引文后续核实补入，本稿暂不强引。</w:t>
      </w:r>
    </w:p>
    <w:p>
      <w:pPr>
        <w:spacing w:before="120" w:after="40" w:line="348" w:lineRule="auto"/>
        <w:jc w:val="both"/>
      </w:pPr>
      <w:r>
        <w:rPr>
          <w:rFonts w:ascii="Songti SC" w:hAnsi="Songti SC" w:eastAsia="Songti SC"/>
          <w:b/>
          <w:sz w:val="20"/>
        </w:rPr>
        <w:t>参考文献</w:t>
      </w:r>
    </w:p>
    <w:p>
      <w:pPr>
        <w:spacing w:after="40" w:line="312" w:lineRule="auto"/>
        <w:ind w:left="432" w:hanging="432"/>
      </w:pPr>
      <w:r>
        <w:rPr>
          <w:rFonts w:ascii="Songti SC" w:hAnsi="Songti SC" w:eastAsia="Songti SC"/>
          <w:b w:val="0"/>
          <w:sz w:val="18"/>
        </w:rPr>
        <w:t>[1] 廖重斌. 环境与经济协调发展的定量评判及其分类体系——以珠江三角洲城市群为例[J]. 热带地理, 1999, 19(2): 171-177.</w:t>
      </w:r>
    </w:p>
    <w:p>
      <w:pPr>
        <w:spacing w:after="40" w:line="312" w:lineRule="auto"/>
        <w:ind w:left="432" w:hanging="432"/>
      </w:pPr>
      <w:r>
        <w:rPr>
          <w:rFonts w:ascii="Songti SC" w:hAnsi="Songti SC" w:eastAsia="Songti SC"/>
          <w:b w:val="0"/>
          <w:sz w:val="18"/>
        </w:rPr>
        <w:t>[2] 王淑佳, 孔伟, 任亮, 等. 国内耦合协调度模型的误区及修正[J]. 自然资源学报, 2021, 36(3): 793-810.</w:t>
      </w:r>
    </w:p>
    <w:p>
      <w:pPr>
        <w:spacing w:after="40" w:line="312" w:lineRule="auto"/>
        <w:ind w:left="432" w:hanging="432"/>
      </w:pPr>
      <w:r>
        <w:rPr>
          <w:rFonts w:ascii="Songti SC" w:hAnsi="Songti SC" w:eastAsia="Songti SC"/>
          <w:b w:val="0"/>
          <w:sz w:val="18"/>
        </w:rPr>
        <w:t>[3] Zhang M, Hu Y, Mao Y, et al. 经济—社会—基础设施—生态韧性系统的耦合协调研究：以浙江省为例[J]. PLOS ONE, 2025. doi:10.1371/journal.pone.0323673.（题名以原文为准）</w:t>
      </w:r>
    </w:p>
    <w:p>
      <w:pPr>
        <w:spacing w:after="40" w:line="312" w:lineRule="auto"/>
        <w:ind w:left="432" w:hanging="432"/>
      </w:pPr>
      <w:r>
        <w:rPr>
          <w:rFonts w:ascii="Songti SC" w:hAnsi="Songti SC" w:eastAsia="Songti SC"/>
          <w:b w:val="0"/>
          <w:sz w:val="18"/>
        </w:rPr>
        <w:t>[4] Openshaw S. The Modifiable Areal Unit Problem[M]. Norwich: GeoBooks, 1984.（Concepts and Techniques in Modern Geography, No.38）</w:t>
      </w:r>
    </w:p>
    <w:p>
      <w:pPr>
        <w:spacing w:after="40" w:line="312" w:lineRule="auto"/>
        <w:ind w:left="432" w:hanging="432"/>
      </w:pPr>
      <w:r>
        <w:rPr>
          <w:rFonts w:ascii="Songti SC" w:hAnsi="Songti SC" w:eastAsia="Songti SC"/>
          <w:b w:val="0"/>
          <w:sz w:val="18"/>
        </w:rPr>
        <w:t>[5] Assunção R M, Neves M C, Câmara G, et al. Efficient regionalization techniques for socio-economic geographical units using minimum spanning trees[J]. International Journal of Geographical Information Science, 2006, 20(7): 797-811.</w:t>
      </w:r>
    </w:p>
    <w:p>
      <w:pPr>
        <w:spacing w:before="200" w:after="80" w:line="348" w:lineRule="auto"/>
        <w:ind w:firstLine="340"/>
        <w:jc w:val="both"/>
      </w:pPr>
      <w:r>
        <w:rPr>
          <w:rFonts w:ascii="Songti SC" w:hAnsi="Songti SC" w:eastAsia="Songti SC"/>
          <w:b w:val="0"/>
          <w:color w:val="888888"/>
          <w:sz w:val="17"/>
        </w:rPr>
        <w:t>（初稿 · 2026-06-24 · 数值取自管道实跑结果 latest_functional_chain_ccd_results.csv，随面板更新与口径冻结迭代；参考文献仅列已核实条目，余者标“待补”。）</w:t>
      </w:r>
    </w:p>
    <w:sectPr w:rsidR="00FC693F" w:rsidRPr="0006063C" w:rsidSect="00034616">
      <w:footerReference w:type="default" r:id="rId9"/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sz w:val="18"/>
          <w:color w:val="88888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