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教育—产业耦合协调的功能链测度与障碍诊断</w:t>
      </w:r>
    </w:p>
    <w:p>
      <w:pPr>
        <w:spacing w:after="80"/>
        <w:jc w:val="center"/>
      </w:pPr>
      <w:r>
        <w:rPr>
          <w:rFonts w:ascii="Heiti SC" w:hAnsi="Heiti SC" w:eastAsia="Heiti SC"/>
          <w:b/>
          <w:color w:val="378ADD"/>
          <w:sz w:val="26"/>
        </w:rPr>
        <w:t>——以福建省人工智能人才供需匹配为例</w:t>
      </w:r>
    </w:p>
    <w:p>
      <w:pPr>
        <w:spacing w:after="40"/>
        <w:jc w:val="center"/>
      </w:pPr>
      <w:r>
        <w:rPr>
          <w:rFonts w:ascii="Songti SC" w:hAnsi="Songti SC" w:eastAsia="Songti SC"/>
          <w:b w:val="0"/>
          <w:color w:val="555555"/>
          <w:sz w:val="20"/>
        </w:rPr>
        <w:t>【作者姓名】　【作者单位，城市　邮编】</w:t>
      </w:r>
    </w:p>
    <w:p>
      <w:pPr>
        <w:spacing w:after="200"/>
        <w:jc w:val="center"/>
      </w:pPr>
      <w:r>
        <w:rPr>
          <w:rFonts w:ascii="Songti SC" w:hAnsi="Songti SC" w:eastAsia="Songti SC"/>
          <w:b w:val="0"/>
          <w:color w:val="888888"/>
          <w:sz w:val="18"/>
        </w:rPr>
        <w:t>【基金项目：项目名称及编号（待补）】</w:t>
      </w:r>
    </w:p>
    <w:p>
      <w:pPr>
        <w:spacing w:line="360" w:lineRule="auto" w:after="80"/>
      </w:pPr>
      <w:r>
        <w:rPr>
          <w:rFonts w:ascii="Songti SC" w:hAnsi="Songti SC" w:eastAsia="Songti SC"/>
          <w:b/>
          <w:sz w:val="20"/>
        </w:rPr>
        <w:t>摘　要：</w:t>
      </w:r>
      <w:r>
        <w:rPr>
          <w:rFonts w:ascii="Songti SC" w:hAnsi="Songti SC" w:eastAsia="Songti SC"/>
          <w:b w:val="0"/>
          <w:sz w:val="20"/>
        </w:rPr>
        <w:t>人工智能（AI）人才的教育供给与产业需求能否在区域内匹配，是数字经济高质量发展的关键约束。本文将“教育—产业”关系解构为“供给规模—供给质量—产业承接—产业转化”四环节功能链，以耦合协调度（CCD）模型测度福建省 9 个设区市2019—2024 年教育（E）与产业（I）的耦合协调水平，以障碍度模型诊断失调的关键环节，并进一步以功能链局部 CCD 识别整体协调所掩盖的链节断裂、以边界约束的区域组合基准刻画空间协同类型。主要发现：①福建 AI 人才供需匹配呈显著的“双核—腹地”二元结构——福州、厦门达优质协调（D&gt;0.9）、其余 7 市长期处于失调区间（D 在 0.16—0.36），且差距未随时间收敛；②福州“教育领先”、厦门“产业领先”构成结构镜像，二者跨核互补最强；③腹地城市的失调多为“功能链整体发育不足”而非单点错配，且彼此组团几乎不产生协同；④区域均衡改善主要来自“教育领先↔产业领先”的跨极配对，提示腹地需接入核心而非“抱团取暖”。在方法上，本文揭示并修正了 min-max 标准化对腹地障碍诊断的压缩效应（双轨障碍诊断），并以熵值法、多种耦合度形式与三口径嵌套验证了结论的稳健性。本文为描述—测度性研究，明确不作因果宣称，并在结论部分给出面向后续因果识别的可检验假设。</w:t>
      </w:r>
    </w:p>
    <w:p>
      <w:pPr>
        <w:spacing w:line="360" w:lineRule="auto" w:after="200"/>
      </w:pPr>
      <w:r>
        <w:rPr>
          <w:rFonts w:ascii="Songti SC" w:hAnsi="Songti SC" w:eastAsia="Songti SC"/>
          <w:b/>
          <w:sz w:val="20"/>
        </w:rPr>
        <w:t>关键词：</w:t>
      </w:r>
      <w:r>
        <w:rPr>
          <w:rFonts w:ascii="Songti SC" w:hAnsi="Songti SC" w:eastAsia="Songti SC"/>
          <w:b w:val="0"/>
          <w:sz w:val="20"/>
        </w:rPr>
        <w:t>人工智能人才；教育—产业耦合；耦合协调度；障碍度诊断；功能链；福建省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英文题名、Abstract、Keywords 待译补；作者、单位、基金、JEL/中图分类号待补。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一、引言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数字经济的竞争，归根结底是人才的竞争。人工智能作为新一轮科技革命与产业变革的核心驱动力，对人才提出了数量与质量的双重要求：一方面需要规模化的工程技术人员支撑产业落地，另一方面需要高层次研发人才支撑创新突破。人才的形成依赖教育系统的持续供给，人才价值的实现则依赖产业系统的有效吸纳与转化。当教育供给与产业需求在规模、质量与空间上无法匹配时，便出现“有人无岗”或“有岗无人”的结构性错配，制约区域创新与产业升级。因此，刻画并诊断区域内“教育—产业”的匹配状态，是理解人才供需矛盾、制定差异化政策的前提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既有研究多从单侧（教育规模或产业需求）描述人才供需，较少将二者置于同一“系统协调”框架下进行可比测度，亦较少深入到“教育—产业”内部链节，回答“在哪一环节、以何种形式发生错配”这一更具操作性的问题。这导致政策建议常停留于“扩大供给”或“引进人才”的笼统层面，缺乏对失调结构的精准识别：同样是“失调”，是教育规模不足、培养质量不够，还是产业承接不力、创新转化乏力？不同病因对应迥异的政策处方，而总量指标无法区分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本文的研究意义体现在三个层面。理论上，将笼统的“教育—产业耦合”细化为“四环节功能链”，为人才供需匹配提供一个可分解、可诊断的分析框架，并以局部 CCD 揭示整体协调可能掩盖的链节断裂；现实上，对福建这一“双核—腹地”特征鲜明的省份作分环节、分城市诊断，可为差异化的人才引育与产教融合政策提供靶向依据；方法上，所提出的功能链局部 CCD、双轨障碍诊断与边界约束组合基准，对一般的区域系统协调测度均具可移植性。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福建省为观察上述问题提供了典型样本。省内既有福州、厦门两个高等教育与产业“双核”，又有教育与产业基础相对薄弱的广大腹地城市；既有宁德时代等具全国影响力的 AI 相关产业主体带动的产业需求，又有高校布局高度集中于双核的供给格局。区域内部供需结构差异显著，为“分环节、分城市”地诊断匹配状态提供了丰富的横截面变异。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引言需补：①福建数字经济/AI 产业规模与人才缺口的权威数据来源（如省统计公报、工信部门或第三方人才报告），用于量化“现实紧迫性”；②“人才供需结构性错配”命题的代表性文献 2—3 篇。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基于此，本文将“教育—产业”关系解构为“供给规模—供给质量—产业承接—产业转化”四环节功能链，以耦合协调度模型测度福建 9 市 2019—2024 年的 E—I 耦合协调水平，并以障碍度模型定位失调环节。本文的边际贡献有四：其一，提出“四环节功能链”的测度框架，将笼统的“教育—产业耦合”细化为可诊断的链节结构；其二，将整体耦合协调度拓展为链节之间的“局部耦合协调度”，以识别整体协调可能掩盖的链节断裂；其三，揭示并以“双轨障碍诊断”修正 min-max 标准化在区域极值悬殊时对腹地障碍分解的压缩效应；其四，以“边界约束的区域组合基准”为城市群/都市圈层面的空间协同提供可证伪的探索性参照。本文余下结构为：第二节文献综述与理论分析，第三节研究设计，第四节实证结果，第五节稳健性检验，第六节结论与政策建议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二、文献综述与理论分析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2.1　人才供需匹配与产教融合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人才供需匹配与产教融合是本文的现实落点。已有讨论普遍指出，教育供给与产业需求之间存在结构性、质量性与空间性错配，产教融合的推进仍受制于校企利益协调机制不健全、培养标准与岗位需求脱节等因素。从政策演进看，我国自《国务院办公厅关于深化产教融合的若干意见》起，逐步构建了产教融合的政策体系，并在“职普融通、产教融合、科教融汇”的取向下持续深化。但相关研究多为政策分析与案例描述，对区域“教育—产业”匹配程度进行量化测度、并诊断其失调来源的实证工作仍相对不足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就 AI 人才而言，人工智能对就业的结构性影响已有实证——谢萌萌等（2020）发现人工智能对制造业低技能就业的影响呈非线性特征</w:t>
      </w:r>
      <w:r>
        <w:rPr>
          <w:rFonts w:ascii="Songti SC" w:hAnsi="Songti SC" w:eastAsia="Songti SC"/>
          <w:b w:val="0"/>
          <w:color w:val="185FA5"/>
          <w:sz w:val="21"/>
        </w:rPr>
        <w:t>[9]</w:t>
      </w:r>
      <w:r>
        <w:rPr>
          <w:rFonts w:ascii="Songti SC" w:hAnsi="Songti SC" w:eastAsia="Songti SC"/>
          <w:b w:val="0"/>
          <w:sz w:val="21"/>
        </w:rPr>
        <w:t>；数字经济发展水平的测度与障碍因子诊断亦有探索</w:t>
      </w:r>
      <w:r>
        <w:rPr>
          <w:rFonts w:ascii="Songti SC" w:hAnsi="Songti SC" w:eastAsia="Songti SC"/>
          <w:b w:val="0"/>
          <w:color w:val="185FA5"/>
          <w:sz w:val="21"/>
        </w:rPr>
        <w:t>[10]</w:t>
      </w:r>
      <w:r>
        <w:rPr>
          <w:rFonts w:ascii="Songti SC" w:hAnsi="Songti SC" w:eastAsia="Songti SC"/>
          <w:b w:val="0"/>
          <w:sz w:val="21"/>
        </w:rPr>
        <w:t>。但聚焦“AI 人才”的教育供给与产业需求匹配、并下沉到功能链环节的量化诊断仍显不足，尤其缺乏“分环节定位失调来源”的工具。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2.1 仍需补：人才供需匹配/技能错配测度 2—3 篇；产教融合/教育—产业协同的定量实证 2—3 篇（须经 CNKI 核出完整出处后引用）。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2.2　耦合协调度模型及其应用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耦合协调度（Coupling Coordination Degree, CCD）模型源于物理学的耦合概念，廖重斌（1999）</w:t>
      </w:r>
      <w:r>
        <w:rPr>
          <w:rFonts w:ascii="Songti SC" w:hAnsi="Songti SC" w:eastAsia="Songti SC"/>
          <w:b w:val="0"/>
          <w:color w:val="185FA5"/>
          <w:sz w:val="21"/>
        </w:rPr>
        <w:t>[1]</w:t>
      </w:r>
      <w:r>
        <w:rPr>
          <w:rFonts w:ascii="Songti SC" w:hAnsi="Songti SC" w:eastAsia="Songti SC"/>
          <w:b w:val="0"/>
          <w:sz w:val="21"/>
        </w:rPr>
        <w:t>以珠江三角洲为例，建立了环境与经济协调发展的定量评判及分类体系，奠定了国内 CCD 的基本范式；此后该模型被广泛用于两系统乃至多系统的协调测度。针对其在应用中的常见偏误，王淑佳等（2021）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系统梳理了国内耦合协调度模型的“四类误区”并给出修正建议，为规范使用提供了依据。近年亦有研究将 CCD 用于子系统的两两配对诊断——如 Zhang 等（2025）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对经济—社会—基础设施—生态四个韧性子系统构造六个二元 CCD 以识别其互配关系，为本文的“局部耦合协调”提供了先例。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在教育领域，CCD 亦有应用——蔡文伯等（2022）以耦合协调度测度成渝地区双城经济圈高等教育—科技创新—经济发展的动态协同</w:t>
      </w:r>
      <w:r>
        <w:rPr>
          <w:rFonts w:ascii="Songti SC" w:hAnsi="Songti SC" w:eastAsia="Songti SC"/>
          <w:b w:val="0"/>
          <w:color w:val="185FA5"/>
          <w:sz w:val="21"/>
        </w:rPr>
        <w:t>[8]</w:t>
      </w:r>
      <w:r>
        <w:rPr>
          <w:rFonts w:ascii="Songti SC" w:hAnsi="Songti SC" w:eastAsia="Songti SC"/>
          <w:b w:val="0"/>
          <w:sz w:val="21"/>
        </w:rPr>
        <w:t>，为本文将 CCD 用于“教育—产业”场景提供了直接参照。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2.3　障碍度诊断与稳健性方法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在失调来源的诊断上，障碍度模型常与 CCD 配合使用，通过各指标对协调水平的“偏离贡献”识别关键短板；该方法已被广泛应用于多领域诊断——如王彦杰等（2022）以熵值法赋权、障碍度模型诊断我国数字经济发展的主要障碍因子</w:t>
      </w:r>
      <w:r>
        <w:rPr>
          <w:rFonts w:ascii="Songti SC" w:hAnsi="Songti SC" w:eastAsia="Songti SC"/>
          <w:b w:val="0"/>
          <w:color w:val="185FA5"/>
          <w:sz w:val="21"/>
        </w:rPr>
        <w:t>[10]</w:t>
      </w:r>
      <w:r>
        <w:rPr>
          <w:rFonts w:ascii="Songti SC" w:hAnsi="Songti SC" w:eastAsia="Songti SC"/>
          <w:b w:val="0"/>
          <w:sz w:val="21"/>
        </w:rPr>
        <w:t>。需要警惕的是，CCD 与障碍度均建立在指标标准化之上，当区域内存在极端高值单元时，min-max 标准化会把其余单元压缩至区间底部，导致障碍分解“趋同化”，这一效度问题在既有应用中常被忽视，本文将专门检验并修正之。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2.3 可选补强：障碍度模型与熵值法的方法学奠基出处（本文暂以其规范应用文献为引）。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2.4　文献述评与本文定位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综上，既有研究为本文提供了方法基础与现实背景，但仍存三点可拓展空间：其一，多停留于“系统对系统”的整体协调，较少深入功能链内部、识别具体断裂的链节；其二，对 min-max 标准化在区域极值悬殊时对腹地诊断的“压缩效应”缺乏自觉处理，易将“方法假象”误读为“均衡薄弱”；其三，城市群/都市圈层面的“空间协同”多为定性判断，缺乏可证伪的统计参照。本文针对性地以功能链局部 CCD、双轨障碍诊断与边界约束的区域组合基准回应上述三点。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进一步看，将“教育—产业”作为耦合系统测度，相较于“供给侧”或“需求侧”的单边描述有三点优势：其一，它在同一标尺上同时刻画两侧，避免“只见供给不见需求”或反之；其二，耦合度 C 与综合发展度 T 的分解，使“是否同步”与“水平高低”两个问题被分别回答，避免低水平的虚假协调；其三，障碍度与局部 CCD 的叠加，使“系统是否协调”进一步细化为“卡在哪个环节、断在哪两环节之间”。这正是本文区别于既有“总量匹配”研究、并能服务于精准政策的关键。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2.5　理论框架：四环节功能链与（拟纳入的）金融调节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将“教育—产业”人才匹配视为一条功能链：教育系统先以“供给规模”培养人才存量，再以“供给质量”决定人才的层次；产业系统先以“产业承接”吸纳人才就业，再以“产业转化”将人才转化为创新产出。四环节首尾相连——供给规模是基础、供给质量是提升、产业承接是出口、产业转化是升华——任一环节的薄弱都会沿链条传导，形成区域人才供需的整体协调或局部断裂。在测度上，教育（E）由“供给规模、供给质量”等权合成，产业（I）由“产业承接、产业转化”等权合成，二者的耦合协调度刻画区域 AI 人才供需的总体匹配水平；而四环节的两两配对则刻画链节之间的局部匹配。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功能链的“传导”逻辑可进一步展开：供给规模是人才存量的“入口”，决定可供产业选择的人才基数；供给质量是存量向“高层次”的跃升，决定人才能否胜任研发与创新岗位；产业承接是人才由“校门”向“产业门”的转移，决定供给能否落地为就业；产业转化则是人才价值的“出口”，决定就业能否升华为创新产出。四环节中任一环节滞后，都会成为后续环节的“天花板”——供给规模不足则无人可承接，供给质量不够则承接的多是低端岗位，产业承接乏力则人才外流，产业转化滞后则人才“为他人作嫁衣”。正因如此，整体耦合协调度高未必意味着链条通畅：它可能是“某两环节强、掩盖另两环节断裂”的平均假象。这正是本文在整体 CCD 之外、进一步测度功能链局部 CCD 的根本动因。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就金融的调节渠道而言，理论上存在三条路径：其一，财政与金融对高校的投入影响供给规模与质量（教育端）；其二，信贷与风险投资对 AI 企业的支持影响产业承接与转化（产业端）；其三，金融通过降低人才—岗位匹配的搜寻成本、支持产学研合作而直接润滑“承接—转化”链节。三条渠道均指向“金融发达地区的 E—I 耦合更易实现”这一可检验命题。但其因果识别需要外生的金融或政策变异，超出本文测度数据的支撑范围，故仅作框架标注、留待另文。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需要说明的是，金融（F）作为撬动教育投入与产业投资的要素，理论上对 E—I 耦合具有调节作用——金融发达地区更易将教育供给转化为产业承接、将人才转化为创新。</w:t>
      </w:r>
      <w:r>
        <w:rPr>
          <w:rFonts w:ascii="Songti SC" w:hAnsi="Songti SC" w:eastAsia="Songti SC"/>
          <w:b w:val="0"/>
          <w:color w:val="555555"/>
          <w:sz w:val="21"/>
        </w:rPr>
        <w:t>本文为“测度与诊断”定位，实证部分聚焦 E—I 耦合与障碍诊断，金融调节作为后续因果识别工作（另文）的研究对象，此处仅在框架中标明、不作经验估计，以免超出本文数据所能支撑的结论范围。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三、研究设计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3.1　指标体系与三口径嵌套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依据四环节功能链构建指标体系（表 1）。考虑“AI 人才”口径的模糊性，本文设置严格嵌套的三口径（C⊂B⊂X）：C 为 AI 直接命名专业（人工智能、智能科学与技术、数据科学与大数据技术），B 在 C 基础上加入计算机科学与技术、软件工程等基础专业群（主口径），X 进一步纳入电子信息、自动化、智能制造等交叉群；专利端按 IPC 前缀对应嵌套。除供给质量（项目点计数）外，各指标以全市常住人口人均化，使其度量“人均强度”而非城市规模——否则人口大市将因基数而虚高，掩盖人均意义上的供需结构。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15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子系统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测度指标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数据来源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处理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E 教育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供给规模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AI 相关专业本专科招生数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各校招生章程/计划（逐校核）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  <w:tr>
        <w:tc>
          <w:tcPr>
            <w:tcW w:type="dxa" w:w="115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E 教育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供给质量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国家级/省级一流本科专业建设点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教育部/省教育厅公开名单（逐条核验）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容量（非人均）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I 产业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产业承接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信息传输、软件业城镇单位从业人员（门类 I）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各市统计年鉴（官方核验）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  <w:tr>
        <w:tc>
          <w:tcPr>
            <w:tcW w:type="dxa" w:w="115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I 产业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产业转化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企业 AI/数字技术专利申请量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专利数据库（IPC 检索）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1　四环节功能链指标体系（主口径 B）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三口径严格嵌套（C⊂B⊂X）的意义在于：C 口径最“纯”但样本稀疏、近乎纯规模驱动；B 口径兼顾纯度与覆盖、作为主口径；X 口径最“广”、用于稳健性对照。专利端亦按 IPC 前缀对应嵌套，保证供需两侧口径一致。人均化分母统一为全市·年末·常住人口。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3.2　数据来源与处理流程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样本为福建 9 设区市 2019—2024 年面板，共 54 个“城市×年份”单元，按 C/B/X 三口径分别测算。数据处理遵循“抽取与归一—质量闸门—标准化—缺失处理—测度”的流程，各环节要点如下。</w:t>
      </w:r>
    </w:p>
    <w:p>
      <w:pPr>
        <w:spacing w:after="60" w:line="348" w:lineRule="auto"/>
        <w:ind w:left="144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招生数据按版式族自动解析（2019 Word 版/2020 两栏/2021 单栏左移/2022—2024 标准版），校名与专业按口径配置 join；专利数据 75 396 件，经去重后剔除高校与个人申请、按 IPC 分类、以第一申请人地址归市，最终入账 35 169 件，作为“企业 AI/数字技术专利申请量”的产业转化代理。</w:t>
      </w:r>
    </w:p>
    <w:p>
      <w:pPr>
        <w:spacing w:after="60" w:line="348" w:lineRule="auto"/>
        <w:ind w:left="144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对每个指标单元做三重核查：完备性核查（零命中单元生成《真零核查单》逐一复核，区分“真零”与“缺失”）、年际跳变核查（异常突变标记复核）、加总锚核查（九市加总≈全省口径）。</w:t>
      </w:r>
    </w:p>
    <w:p>
      <w:pPr>
        <w:spacing w:after="60" w:line="348" w:lineRule="auto"/>
        <w:ind w:left="144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采全样本固定基准 min-max（按 C/B/X 口径分别进行），将各环节人均值映射至 [0,1]；min/max 锚单元须经数值审计确认，避免异常值污染基准。</w:t>
      </w:r>
    </w:p>
    <w:p>
      <w:pPr>
        <w:spacing w:after="60" w:line="348" w:lineRule="auto"/>
        <w:ind w:left="144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0、不插值、不外推”的原则；可回推者仅限“全省锚可得 + 单一年份”的情形——如人口 2019 年七普口径断点的回推、漳州 2024 年产业承接的全省定锚回推——并将其作为稳健性起点而非主结论依据（莆田 2019 年产业承接的代理值因不满足条件已剔除）。</w:t>
      </w:r>
    </w:p>
    <w:p>
      <w:pPr>
        <w:spacing w:after="60" w:line="348" w:lineRule="auto"/>
        <w:ind w:left="144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在标准化值之上计算耦合协调度 D=√(C·T)，并以障碍度模型分解至四环节、定位主障碍；进一步计算功能链局部CCD 与区域组合基准。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三类数据的归并细节如下。招生数据方面，因各年招生计划版式不一（2019 年 Word 版、2020 年两栏、2021 年单栏左移、2022 年后趋于标准），本文按“版式族”分别编写解析规则，再以校名与专业名按口径配置进行匹配，确保跨年可比。专利数据方面，原始检索得 75 396 件，经申请号去重、剔除高校与个人申请（仅保留企业主体以贴近“产业转化”语义）、按 IPC 前缀归入 C/B/X 口径、以第一申请人地址归属设区市后，最终入账 35 169 件。产业承接采门类 I（信息传输、软件和信息技术服务业）城镇单位从业人员，口径与统计年鉴一致；其对制造业内嵌的数字化岗位存在系统性低估（见 4.7 泉州个案），故在稳健性中以替代口径辅证。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3.3　时间口径与缺失处理的理论依据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供给质量的时间口径采“认定年起、存量持续”计法：某一流本科专业建设点自其获批（认定）年起在其后各年持续计入（每年只计其自身权重一次，不滚动累加），依据为一流专业“双万计划”（2019—2021 三批）</w:t>
      </w:r>
      <w:r>
        <w:rPr>
          <w:rFonts w:ascii="Songti SC" w:hAnsi="Songti SC" w:eastAsia="Songti SC"/>
          <w:b w:val="0"/>
          <w:color w:val="185FA5"/>
          <w:sz w:val="21"/>
        </w:rPr>
        <w:t>[7]</w:t>
      </w:r>
      <w:r>
        <w:rPr>
          <w:rFonts w:ascii="Songti SC" w:hAnsi="Songti SC" w:eastAsia="Songti SC"/>
          <w:b w:val="0"/>
          <w:sz w:val="21"/>
        </w:rPr>
        <w:t>系“建设”属性、认定后全周期持续监测、仅对严重质量不达标者动态撤销</w:t>
      </w:r>
      <w:r>
        <w:rPr>
          <w:rFonts w:ascii="Songti SC" w:hAnsi="Songti SC" w:eastAsia="Songti SC"/>
          <w:b w:val="0"/>
          <w:color w:val="185FA5"/>
          <w:sz w:val="21"/>
        </w:rPr>
        <w:t>[6]</w:t>
      </w:r>
      <w:r>
        <w:rPr>
          <w:rFonts w:ascii="Songti SC" w:hAnsi="Songti SC" w:eastAsia="Songti SC"/>
          <w:b w:val="0"/>
          <w:sz w:val="21"/>
        </w:rPr>
        <w:t>——故认定即确立可持续的质量信号，而非待验收方计。该口径对 2024 年主结果横截面不敏感（晚批次至 2024 多已逾建设期）。这一处理保证了“数据清洗有理论依据、不臆造”：例如经核宁德师范学院 2019—2021 三批省级一流名单确无 AI/计算机类专业入选，故其供给质量为真零而非缺失；莆田学院 2020 年获批计算机省级一流，则按此口径自 2020 年起计入，修正了此前的数据缺口。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3.4　测度方法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（1）耦合协调度。教育与产业的耦合协调度为 D=√(C·T)，其中耦合度 C=2√(E·I)/(E+I) 衡量两系统的同步程度（E=I 时 C=1）、综合发展度 T=(E+I)/2 衡量整体水平；D∈[0,1]，越大越协调，任一指数为 0 标记“不可计算”、不参与等级与路径分类。该二元耦合度形式与廖重斌（1999）</w:t>
      </w:r>
      <w:r>
        <w:rPr>
          <w:rFonts w:ascii="Songti SC" w:hAnsi="Songti SC" w:eastAsia="Songti SC"/>
          <w:b w:val="0"/>
          <w:color w:val="185FA5"/>
          <w:sz w:val="21"/>
        </w:rPr>
        <w:t>[1]</w:t>
      </w:r>
      <w:r>
        <w:rPr>
          <w:rFonts w:ascii="Songti SC" w:hAnsi="Songti SC" w:eastAsia="Songti SC"/>
          <w:b w:val="0"/>
          <w:sz w:val="21"/>
        </w:rPr>
        <w:t>及王淑佳等（2021）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厘定的规范公式一致，并通过其“四类误区”自检。E、I 各由其两环节等权合成；环节值先按 C/B/X 口径在全样本（9 市×6 年）上作 min-max 标准化。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 D 的设计兼顾“同步”与“水平”两重含义：耦合度 C 只测 E、I 是否“齐头并进”（即便都很低，只要相等C 即为 1），故必须乘以综合发展度 T 才能避免“低水平虚高协调”——两系统都接近 0 时 C 可能很高，但 T 很低，D=√(C·T) 因而被拉低，正确地反映“低水平失调”。这也是本文判腹地城市“失调”的方法保证：它们并非“供需不同步”，而是“双低”——C 未必低、但 T 极低。依惯例，D 可分级解读：0—0.3 为严重/中度失调、0.3—0.5 为轻度失调或濒临失调、0.5—0.8 为初级/中级协调、0.8—1.0 为良好/优质协调。据此，福州、厦门（D&gt;0.9）属优质协调，其余 7 市（D&lt;0.4）属失调区间。任一指数为 0 时 D 标“不可计算”而非 0，以区分“真实失调”与“数据缺失”。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（2）障碍度诊断。对四环节，以“偏离度”的归一化份额衡量其对失调的贡献：设环节 k 的标准化值为 vₖ、理想值为 1，则偏离度为 (1−vₖ)、贡献度等权 1/4，障碍度份额 = (1−vₖ)/Σⱼ(1−vⱼ)。份额最大者即“主障碍”。等权设定下1/4 在归一化中相互抵消，不影响份额排序——即“等权下权重不影响份额”，份额完全由偏离度结构决定。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（3）局部耦合协调度。为识别整体协调可能掩盖的链节断裂，本文对四环节两两构造“局部 CCD”（公式同上）：主文取理论意义最强的四组——D₁₂（供给规模×供给质量，教育内部）、D₃₄（产业承接×产业转化，产业内部）、D₁₃（供给规模×产业承接，数量供需）、D₂₄（供给质量×产业转化，质量转化）；其余两对（D₁₄、D₂₃）入附录以做满 C(4,2)=6 对，与 Zhang 等（2025）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的两两 CCD 思路一致。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4）边界约束的区域组合基准。区域协同不应在任意城市组合上比较，而须先确定“边界”（行政/规划/地理相邻），再在其同规模的全部组合中看其位置——这是一个置换/组合基准：以全部同规模组合的分布为参照，判断该边界组合的协同是否仅由组合方式使然（探索性，非显著性检验）；先定边界再比较亦满足可变面积单元问题（MAUP）的要求</w:t>
      </w:r>
      <w:r>
        <w:rPr>
          <w:rFonts w:ascii="Songti SC" w:hAnsi="Songti SC" w:eastAsia="Songti SC"/>
          <w:b w:val="0"/>
          <w:color w:val="185FA5"/>
          <w:sz w:val="21"/>
        </w:rPr>
        <w:t>[4]</w:t>
      </w:r>
      <w:r>
        <w:rPr>
          <w:rFonts w:ascii="Songti SC" w:hAnsi="Songti SC" w:eastAsia="Songti SC"/>
          <w:b w:val="0"/>
          <w:sz w:val="21"/>
        </w:rPr>
        <w:t>，空间连续性约束的区域化思想亦见诸 Assunção 等（2006）</w:t>
      </w:r>
      <w:r>
        <w:rPr>
          <w:rFonts w:ascii="Songti SC" w:hAnsi="Songti SC" w:eastAsia="Songti SC"/>
          <w:b w:val="0"/>
          <w:color w:val="185FA5"/>
          <w:sz w:val="21"/>
        </w:rPr>
        <w:t>[5]</w:t>
      </w:r>
      <w:r>
        <w:rPr>
          <w:rFonts w:ascii="Songti SC" w:hAnsi="Songti SC" w:eastAsia="Songti SC"/>
          <w:b w:val="0"/>
          <w:sz w:val="21"/>
        </w:rPr>
        <w:t>。区域聚合采人口加权；定义协同溢价 RSP=D_组−mean(D_i)、均衡改善度 BI=mean|E_i−I_i|−|E_组−I_组|，以 BI 为协同互补主指标。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3.5　识别立场与本文 claim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本文为描述—测度性研究，明确不作因果宣称。原因有二：其一，教育（E）与产业（I）之间存在双向因果——教育因产业需求而扩张、产业亦向人才富集地集聚——任何单方程估计都难逃联立内生；其二，9 个设区市的样本量不足以支撑可信的因果识别。故本文克制于“把事实测准、把结构刻清”，将因果识别留待以现代产业学院等政策冲击为基础的后续研究（另文）。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，本文严格主张的是三类“可被证伪的典型事实”——双核—腹地的二元结构、整体协调所掩盖的链节断裂、区域协同对“边界”的依赖——而非任何因果效应。相应地，测度类研究的效度威胁不在“内生性”（无待估系数可言内生），而在</w:t>
      </w:r>
      <w:r>
        <w:rPr>
          <w:rFonts w:ascii="Songti SC" w:hAnsi="Songti SC" w:eastAsia="Songti SC"/>
          <w:b/>
          <w:sz w:val="21"/>
        </w:rPr>
        <w:t>构念效度与测量效度</w:t>
      </w:r>
      <w:r>
        <w:rPr>
          <w:rFonts w:ascii="Songti SC" w:hAnsi="Songti SC" w:eastAsia="Songti SC"/>
          <w:b w:val="0"/>
          <w:sz w:val="21"/>
        </w:rPr>
        <w:t>：零值地板、min-max 压缩、可变面积单元问题（MAUP）、口径选择。本文以双轨障碍、熵值法、多种耦合形式与三口径嵌套加以处理（见第五节），并以全部同规模组合为参照、对“观测到的协同是否仅由组合方式使然”作探索性的组合基准判断（见 4.6）。凡涉及机制与因果者，本文仅作假设提出、不下断言，并在第六节给出面向后续因果识别的可检验假设。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四、实证结果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　总体格局：“双核—腹地”二元结构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85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8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　福建 9 市教育—产业耦合协调度热力图（B 口径，2019—2024）。颜色越深协调度越高。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核心发现一（双核—腹地分化）：图 1 显示，福州、厦门 2024 年耦合协调度均超 0.9（优质协调）且六年持续高位；其余 7 市长期处于 0.16—0.36 的失调区间。福建 AI 人才供需匹配呈鲜明的“双核协调、腹地失调”二元结构，且差距未随时间收敛——这意味着区域人才供需的不平衡是结构性的、而非周期性的。从时序看，双核保持高位稳定，部分腹地城市（如莆田）反而呈下滑趋势（由 2020 年的 0.35 降至 2024 年的 0.26），与其招生规模在 2021 年后的收缩一致。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两点补充。其一，口径稳健性：上述格局在 C/B/X 三口径下一致——B 口径（主口径）兼顾纯度与覆盖，C 口径因 AI 直接命名专业稀疏而更陡峭、X 口径因纳入交叉专业而略平缓，但“双核—腹地”的基本形态不变。其二，时序含义：双核的高位稳定反映其“高校—产业”存量优势的自我强化，腹地的低位徘徊（个别下滑）反映其供给与需求同步乏力；差距的“不收敛”提示市场自发力量难以缩小区域落差，呼应 4.6“腹地需接入核心”的结论。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　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06240" cy="3516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16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　E-I 结构与双核镜像（B 口径，2024）。对角线为供需均衡线 E=I。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 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 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0.260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2　各市 E—I 指数、耦合协调度、城市类型与主障碍（B 口径，2024）</w:t>
      </w:r>
    </w:p>
    <w:p>
      <w:pPr>
        <w:spacing w:before="8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，机理却恰好相反。福州教育供给封顶（E=1.0）、产业转化相对滞后，落在均衡线“教育领先”一侧（主障碍为产业转化）；厦门产业指数近满（I=0.977）、供给规模相对滞后，落在“产业领先”一侧（主障碍为供给规模）。二者构成一对“高协调、反向失衡”的镜像——前者待产业承接其人才产出，后者待教育扩张其供给规模。腹地 7 市则聚集于原点附近的“双低”区域，教育与产业供给同步偏弱，全部归为“双低失调”。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4.3　障碍度诊断：标准化值、主障碍识别与手算示范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障碍度直接建立在四环节的标准化值 vₖ 之上。其数据处理为两步：①人均化——供给规模、产业承接、产业转化三环节除以城市常住人口（供给质量为项目点计数，不人均化）；②全样本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[0,1]。表 3 为 B 口径 2024 年的标准化值与极差（四环节最大—最小），极差是后续障碍分解可信度的关键。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0.124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3　四环节标准化值、极差与障碍可辨性（B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从标准化值的横向结构看，各市呈现不同的“短板画像”：福州四环节均较高、唯产业转化（0.681）相对偏低；厦门产业两环节近满、供给规模（0.562）为相对短板；泉州、漳州教育侧略高于产业侧，呈“教育微弱领先、产业明显不足”；宁德产业转化（0.226）一枝独高而供给质量为 0，是“产业拉动、教育缺位”的极端；龙岩、三明、南平四环节全面低于0.12、极差不足 0.08，属“全面薄弱”。这一画像差异正是后续障碍度分解与链节诊断的基础，也解释了为何同属“失调”、病因却各不相同——总量指标会把这些迥异的结构压成同一个“低 D”，而分环节标准化值则把病因显影出来。</w:t>
      </w:r>
    </w:p>
    <w:p>
      <w:pPr>
        <w:spacing w:before="8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障碍度份额的含义是：某环节“离满分还差多少”，占该市“所有环节差距之和”的比例；份额最大者即“主障碍”。计算分三步（以表 3 的标准化值 vₖ 为输入，理想值=1）：①偏离度 = 1−vₖ；②总偏离 = Σ(1−vⱼ)；③障碍度份额 = 偏离度 ÷ 总偏离。四环节份额必然加总为 100%。下以两个城市作手算示范。</w:t>
      </w:r>
    </w:p>
    <w:p>
      <w:pPr>
        <w:spacing w:before="80" w:after="40" w:line="360" w:lineRule="auto"/>
        <w:jc w:val="both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60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69.2%，故主障碍=产业转化。这与表 2 一致，也与“福州教育领先、待产业承接”的镜像判断吻合。</w:t>
      </w:r>
    </w:p>
    <w:p>
      <w:pPr>
        <w:spacing w:before="80" w:after="40" w:line="360" w:lineRule="auto"/>
        <w:jc w:val="both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60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25%”的来历：不是巧合，而是四环节差得差不多——故其主障碍判为弱信号（见 4.4）。补充：学术式“障碍度=因子贡献度×指标偏离度”中，贡献度=权重×偏离度，本文四环节等权（各 1/4），归一化时 1/4 上下抵消，故份额 = (1−vₖ)/Σ(1−vⱼ)。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1893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8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　障碍度四环节构成（B 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4.4　障碍度的压缩效应与双轨修正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检验动机：图 3 中腹地多市四环节障碍度近似各占 25%，需检验其是否为真实“均衡薄弱”，抑或方法假象。机制诊断：障碍度份额 = (1−vₖ)/Σ(1−vⱼ)；由于福州、厦门占据 min-max 的上界，全部腹地城市被压缩进 [0, 0.29] 的底部区间（见表 3）。在该压缩区内，若一城四环节标准化值彼此接近（如南平 0.034/0.046/0.055/0.026，极差仅 0.029），则 (1−vₖ) 皆≈0.9 → 障碍份额机械地皆≈25%，其“主障碍”由第三位小数决定，本质为噪声。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据此，本文以四环节标准化值的极差作为障碍可辨性指标（表 3 末列）：极差&gt;0.16 的城市存在可识别的主障碍、分解可信；极差&lt;0.08 的城市（龙岩、三明、南平）四环节同步贴近地板、无显著单一卡点，其主障碍标注应判为弱信号——“各占 25%”本身即是“四环节同步发育不足”的发现，而非可分解的结构性偏科。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修正落地——双轨障碍诊断：第①步取四环节人均值；第②步（轨 A·全样本）在全 9 市×6 年共 54 个单元上对每个环节做 min-max，衡量“该市离全省前沿的差距”；第③步（轨 B·腹地组内）剔除福州、厦门，仅在腹地 7 市×6 年共 42 个单元上重新 min-max，衡量“腹地城市彼此之间的相对短板”；第④步两轨各自代入同一障碍度公式。轨 B 因剔除双核极值，腹地四环节不再被压到地板，极差大幅放大。逐市比较两轨主障碍是否一致：一致则诊断稳健，不一致则须分别表述。结果见表 4。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0.133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4　双轨障碍诊断：全样本（轨A）与腹地组内（轨B）主障碍对照（B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市两轨一致（诊断稳健）；漳州、南平两轨不一致——全样本主障碍反映“离全省前沿”的最大缺口，组内主障碍反映“腹地内部”相对短板，二者并存须分别表述，不可简单择一。轨 B 极差普遍大幅放大（如宁德由 0.226 升至0.966），印证压缩效应的存在与组内重标的修正作用。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4.5　功能链局部断裂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50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calc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图5　整体 CCD 与四组功能链局部 CCD（B 口径，2024）。竖线左为整体 D，右为四组局部链节。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79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10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整体D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D₁₂教育内部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D₃₄产业内部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D₁₃数量供需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D₂₄质量转化</w:t>
            </w:r>
          </w:p>
        </w:tc>
        <w:tc>
          <w:tcPr>
            <w:tcW w:type="dxa" w:w="237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分型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0.874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0.835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0.988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0.856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0.964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0.506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0.361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0.362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局部优势·总体低位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0.340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0.261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0.207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0.177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0.151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0.318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0.204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0.185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0.146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5　整体 CCD 与四组功能链局部 CCD 及分型（B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本文按“整体 D 与局部 D 的关系”将各市归入四种分型，以揭示整体协调与局部链节的关系：①“全链协调”（整体高、局部皆高，如福州、厦门）——系统通畅、无掩盖断裂；②“总体协调但局部断裂”（整体高、却有某链节显著偏低）——警示“平均数”掩盖问题；③“局部优势·总体低位”（整体低、却有某链节相对突出，如泉州教育内部 D₁₂=0.506）——存在可培育的“支点”；④“全链低位”（整体与局部俱低，如龙岩、三明、南平、莆田、宁德）——需整链培育。这一分型把“失调”从一个笼统标签，拆成“何处可为、何处需补”的行动地图，是局部 CCD 相对整体 CCD 的增量价值所在。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局部 CCD（图 5、表 5）揭示整体协调所掩盖的链节结构：①双核“全链协调”、无明显断裂，但相对薄弱链节恰与障碍度呼应（福州最弱在产业内部 D₃₄=0.874、厦门最弱在教育内部 D₁₂=0.835），说明其高协调并非掩盖断裂的假象；②泉州“局部优势·总体低位”：教育内部 D₁₂=0.506 明显高于其余链节，即“教育端内部尚协调、但产业接不住”，是可培育的突破口；③宁德的 D₁₂、D₂₄=0——因其供给质量标准化值为 0（经核确无 AI 类一流，系真零而非缺失），凡含质量的链节即“断裂”（此为 CCD 零值地板，须注明系“质量链节缺失”而非负向错配；莆田原同此，但其系数据缺口，经补入莆田学院 2020 年计算机省级一流后已非零，D₁₂=0.293、D₂₄=0.204）；④龙岩、三明、南平四组局部 CCD 同步低位（“全链低位”），印证其失调是功能链整体发育不足、而非单点错配。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稳健性（腹地组内双轨）：剔除福厦、在腹地 7 市内部重标后重算局部 CCD，可恢复被压缩掩盖的腹地链节结构——泉州最弱仍为产业内部、漳州最弱为数量供需（D₁₃，因供给规模过低）、龙岩与南平最弱为教育内部。这说明腹地“全链低位”之下，各市仍有可识别的相对短板链节，但其量值受 min-max 压缩、宜结合双轨解读。</w:t>
      </w:r>
    </w:p>
    <w:p>
      <w:pPr>
        <w:spacing w:before="6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附：其余两对链节（理论意义较弱，列此以补足 C(4,2)=6 对）——D₁₄ 规模—转化、D₂₃ 质量—承接（表 6）。结论与主文一致：双核高、腹地低；宁德 D₂₃=0 因供给质量缺失（莆田经补一流后 D₂₃=0.217）。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201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D₁₄ 规模—转化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D₂₃ 质量—承接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0.866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0.953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0.339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0.332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0.267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0.245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0.217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0.173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0.224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6　附录：其余两对链节局部 CCD（B 口径，2024）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4.6　空间协同的边界约束（组合基准）检验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1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　厦漳泉在 84 组三市组合（同规模组合分布）中的均衡改善度（BI）排位（B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以全部同规模城市组合为参照，看每个现实边界组合在其中的位置（分位），借此判断观测到的区域协同是否仅由组合方式使然——这是一个探索性的组合基准，而非显著性检验。表 7 列出五个现实边界组合在其同规模组合中的分位。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边界组合</w:t>
            </w:r>
          </w:p>
        </w:tc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规模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D_S（分位）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RSP（分位）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BI（分位）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协同类型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福州—厦门（跨核互补）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28/36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水平+互补双第一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厦漳泉（都市圈）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49/84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53/84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6/84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互补型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福州都市圈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17/84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32/84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闽东北协同区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31/126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77/126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闽西南协同区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97/126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105/126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30/126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大区·被稀释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7　边界约束的区域组合基准：各边界组合在同规模组合中的分位（B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三种协同类型由此浮现：①福州—厦门“跨核互补”的 D_S 与 BI 均列两市组合之首，结构互补最强（但二者非地理相邻，定位为理论互补对照而非都市圈）；②厦漳泉“互补型都市圈”BI 在 84 个三市组合中居第 6（前 7%），厦门产业领先叠加泉漳教育/承接相对偏强，使并区后供需缺口缩小；③福州都市圈、闽东北“带动型”RSP 在同规模组合中居前 2—5%，由福州高水平拉动，但 BI 中低、互补不强；④闽西南大区因纳入龙岩、三明等低水平市被稀释，D_S 仅居后段。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全部组合的分布本身亦给出可证伪的一般规律（表 8）：含核心市（福/厦）组合的 D_组均值（0.696）约为纯腹地组合（0.292）的 2.4 倍，纯腹地组合 BI 均值≈0（彼此组团几乎不产生均衡改善，最高 D_组仅 0.352、仍失调）。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D_组均值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 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 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含核心市(福/厦)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0.185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纯腹地(无核心)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35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0.292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0.036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8　组合基准的一般规律之一：含核心 vs 纯腹地（84 个三市组合）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46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 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 均值</w:t>
            </w:r>
          </w:p>
        </w:tc>
      </w:tr>
      <w:tr>
        <w:tc>
          <w:tcPr>
            <w:tcW w:type="dxa" w:w="46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跨极(含教育领先+产业领先)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+0.042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0.122</w:t>
            </w:r>
          </w:p>
        </w:tc>
      </w:tr>
      <w:tr>
        <w:tc>
          <w:tcPr>
            <w:tcW w:type="dxa" w:w="46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不跨极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24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−0.033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0.125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9　组合基准的一般规律之二：跨极 vs 不跨极（84 个三市组合）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跨极（同时含教育领先与产业领先城市）组合 BI 均值为正、不跨极为负（表 9）。这为“腹地弱联动”提供反事实式证据：均衡改善来自“跨越教育领先↔产业领先”的镜像配对，腹地需接入核心而非“抱团取暖”。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种协同类型的政策含义各异：“跨核互补型”（福厦）提示应建立双核间的人才与项目流动机制，让福州的人才产出与厦门的产业需求直接对接，是“1+1&gt;2”的最优配对；“互补型都市圈”（厦漳泉）已具备并区减小供需缺口的结构基础，宜以同城化、产业链协同将其落地；“带动型”（福州都市圈、闽东北）的协同主要来自核心市的水平拉动，溢价虽高但互补不足，政策重心应在“强核扩散”而非“等量齐观”；而“大区被稀释”（闽西南）则警示：协同范围并非越大越好，纳入过多低水平单元反而摊薄整体协调。这与“边界须先于组合”的方法立场一致——区域协同的设计应尊重真实的经济地理边界，而非行政拼盘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三指标的分工亦值得说明：D_组测“水平”（高位组合几乎都含福厦）、RSP 测“带动幅度”（高位组合几乎都含福州——本质是“强配弱”的拉动、含一定机械成分）、BI 测“互补均衡”（高位组合多含厦门——极端产业领先者补教育领先伙伴的产业短板）。因此协同互补以 BI 为准、RSP 仅作辅助；二者并用可避免把“强市带动”误读为“结构互补”。这也是本文不把“RSP 高”等同于“协同好”的原因。</w:t>
      </w:r>
    </w:p>
    <w:p>
      <w:pPr>
        <w:spacing w:before="40" w:after="80" w:line="360" w:lineRule="auto"/>
        <w:ind w:firstLine="400"/>
        <w:jc w:val="both"/>
      </w:pPr>
      <w:r>
        <w:rPr>
          <w:rFonts w:ascii="Songti SC" w:hAnsi="Songti SC" w:eastAsia="Songti SC"/>
          <w:b w:val="0"/>
          <w:color w:val="555555"/>
          <w:sz w:val="20"/>
        </w:rPr>
        <w:t>claim 边界（重要）：上述组合基准是描述性的——它显示现实边界组合相对全部可能组合是否“突出”，既不构成显著性检验，更不识别因果（分位高也可能源于选择性聚合等机制）。区域协同的因果效应仍需以政策冲击与跨市人才流动、企业合作数据另文识别（见第六节可检验假设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4.7　典型个案分析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为使结构性结论更具象，以下选取四个典型城市/现象作深度剖析。</w:t>
      </w:r>
    </w:p>
    <w:p>
      <w:pPr>
        <w:spacing w:after="60" w:line="360" w:lineRule="auto"/>
        <w:ind w:firstLine="420"/>
      </w:pPr>
      <w:r>
        <w:rPr>
          <w:rFonts w:ascii="Songti SC" w:hAnsi="Songti SC" w:eastAsia="Songti SC"/>
          <w:b/>
          <w:sz w:val="21"/>
        </w:rPr>
        <w:t>福厦镜像：</w:t>
      </w:r>
      <w:r>
        <w:rPr>
          <w:rFonts w:ascii="Songti SC" w:hAnsi="Songti SC" w:eastAsia="Songti SC"/>
          <w:b w:val="0"/>
          <w:sz w:val="21"/>
        </w:rPr>
        <w:t>双核同为高协调，障碍却分处两端：福州待产业（转化）承接其人才，厦门待教育（规模）扩张其供给。这一镜像并非偶然——省会的高校集聚使福州教育供给封顶（E=1.0），经济特区的产业集聚使厦门产业指数近满（I=0.977），二者恰好互为对方的短板，构成 4.6 中“跨核互补最强”的微观基础。其政策含义是：双核的最优解不是各自补短，而是相互对接——福州的人才产出对接厦门的产业需求，可同时缓解两端失衡。</w:t>
      </w:r>
    </w:p>
    <w:p>
      <w:pPr>
        <w:spacing w:after="60" w:line="360" w:lineRule="auto"/>
        <w:ind w:firstLine="420"/>
      </w:pPr>
      <w:r>
        <w:rPr>
          <w:rFonts w:ascii="Songti SC" w:hAnsi="Songti SC" w:eastAsia="Songti SC"/>
          <w:b/>
          <w:sz w:val="21"/>
        </w:rPr>
        <w:t>宁德：</w:t>
      </w:r>
      <w:r>
        <w:rPr>
          <w:rFonts w:ascii="Songti SC" w:hAnsi="Songti SC" w:eastAsia="Songti SC"/>
          <w:b w:val="0"/>
          <w:sz w:val="21"/>
        </w:rPr>
        <w:t>产业指数（0.137，受宁德时代等企业专利井喷拉动）远高于教育指数（0.005），主障碍为供给质量——典型的“产业先行、本地教育尚未接续”。经核宁德师范学院 2019—2021 三批省级一流确无 AI/计算机类专业，故供给质量为真零而非缺失；这意味着宁德的 AI 人才高度依赖外部输入，本地“产业拉动、教育缺位”的错配最为突出，是“以产带教、补质量短板”政策的首要对象。</w:t>
      </w:r>
    </w:p>
    <w:p>
      <w:pPr>
        <w:spacing w:after="60" w:line="360" w:lineRule="auto"/>
        <w:ind w:firstLine="420"/>
      </w:pPr>
      <w:r>
        <w:rPr>
          <w:rFonts w:ascii="Songti SC" w:hAnsi="Songti SC" w:eastAsia="Songti SC"/>
          <w:b/>
          <w:sz w:val="21"/>
        </w:rPr>
        <w:t>莆田：</w:t>
      </w:r>
      <w:r>
        <w:rPr>
          <w:rFonts w:ascii="Songti SC" w:hAnsi="Songti SC" w:eastAsia="Songti SC"/>
          <w:b w:val="0"/>
          <w:sz w:val="21"/>
        </w:rPr>
        <w:t>耦合度逐年下滑（2020 年 0.345→2024 年 0.260），与其招生规模 2021 年后的收缩一致。补入莆田学院 2020 年获批的计算机省级一流后，供给质量不再为 0，主障碍由“供给质量”转为“产业转化”——即莆田已具一定规模与质量的供给，短板转向产业端的创新转化乏力。这一个案也说明：质量数据的“真零/缺口”甄别直接影响诊断结论，须以严谨的口径与核验为前提。</w:t>
      </w:r>
    </w:p>
    <w:p>
      <w:pPr>
        <w:spacing w:after="60" w:line="360" w:lineRule="auto"/>
        <w:ind w:firstLine="420"/>
      </w:pPr>
      <w:r>
        <w:rPr>
          <w:rFonts w:ascii="Songti SC" w:hAnsi="Songti SC" w:eastAsia="Songti SC"/>
          <w:b/>
          <w:sz w:val="21"/>
        </w:rPr>
        <w:t>泉州型口径漏洞：</w:t>
      </w:r>
      <w:r>
        <w:rPr>
          <w:rFonts w:ascii="Songti SC" w:hAnsi="Songti SC" w:eastAsia="Songti SC"/>
          <w:b w:val="0"/>
          <w:sz w:val="21"/>
        </w:rPr>
        <w:t>泉州 E&gt;I 系“AI 数字产业”指标定义所致：其信息软件业从业、AI 专利的人均值仅为福厦的约 1/8。但泉州制造业内嵌的 AI 人才吸纳（智能制造岗位）多计入门类 C、不在门类 I，故“产业承接”对制造业大市存在系统性低估，宜以“制造业数字化就业”作稳健性补充。这提醒：口径选择本身是测量效度的一部分，对产业结构特殊的城市需辅以替代口径，避免“一刀切”误判。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综合 4.1—4.7，可见一条层层递进的证据链：总体格局上是“双核—腹地”的二元分化（4.1）；结构上是福州“教育领先”与厦门“产业领先”的镜像（4.2）；病因上，双核为单侧偏科、腹地为整体发育不足，且 min-max 压缩使腹地障碍分解趋同、需双轨修正（4.3—4.4）；链节上，整体协调掩盖了泉州“产业接不住”、宁德“质量缺失”等局部断裂（4.5）；空间上，区域均衡改善依赖“教育领先↔产业领先”的跨极配对，腹地彼此组团难以自我协同（4.6）。五个层面共同指向一个判断：福建 AI 人才供需的核心矛盾不是“总量不足”，而是“结构错配 + 腹地整体发育不足”，政策应分型施治、而非一律“扩招”或“引才”。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五、稳健性检验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本文从四方面检验主结论的稳健性。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　双轨障碍诊断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如 4.4 所述，剔除福厦、于腹地 7 市组内重新标准化后重算障碍度，腹地内部相对短板的方向与全样本基本一致（7 市中 5 市两轨一致），缓解了压缩效应对腹地诊断的干扰；不一致的漳州、南平则分别表述其“离全省前沿”与“腹地内部”两种短板，不强行择一。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　客观赋权：等权与熵值法对照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四环节是否等权？本文以等权为基准（四环节在功能链中地位等同，任一缺失即失调），并以熵值法作稳健性。熵值法权重按环节 j 逐列计算：第①步取该环节在全样本 54 个单元的标准化值 vᵢ；第②步归一为比重 pᵢ = vᵢ/Σvᵢ；第③步算信息熵 eⱼ = −(1/ln n)·Σpᵢln pᵢ（n=54，约定 pᵢ=0 时该项为 0）；第④步算信息效用 dⱼ = 1−eⱼ；第⑤步归一为权重 wⱼ = dⱼ/Σdⱼ。所得熵权见表 10。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0.281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0.295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10　四环节熵值法权重与等权对照（B 口径全样本）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以熵权重算 2024 年 D：双核（福州、厦门）在两种权重下均稳居前 2，9 市排名仅中段（5—7 名）的漳州、莆田、三明小幅重排、双核与首尾不变（福州 0.936→0.934、厦门 0.913→0.925）。熵值法下供给规模权重偏低、供给质量/产业转化偏高，源于福厦在后两者上离散度更大——故熵值法宜作稳健性而非唯一主模型。结论：双核—腹地格局对权重选择稳健，等权法作主模型成立。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　耦合度形式稳健性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主模型用规范二元耦合度（√式）；此处另以 ε 下限（min-max 映射至 [0.01,1]，缓解零值地板）与平方式耦合度（4EI/(E+I)²）重算 2024 年整体 D（表 11）。结果：双核在三种形式下均稳居前 2，9 市排名与主模型的 Spearman 秩相关均达 0.983，双核—腹地格局对耦合度形式选择稳健。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201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主模型 D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ε下限 D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平方式C D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0.932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0.321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0.248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0.223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0.095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11　耦合度形式稳健性：主模型 / ε下限 / 平方式 C（B 口径，2024）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　“四类误区”自检与口径稳健性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本文方法通过王淑佳等（2021）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提出的“四类误区”自检（耦合度公式形式、权重设定、等级划分、零值处理）。此外：①三口径——C/X 口径作稳健性对照（C 口径一流专业稀疏、近纯规模驱动）；②窗口上界 2024——2025 因年鉴未出版且专利右截断不纳入，即便 2024，专利亦存轻微右截断，最末 1—2 年产业转化宜谨慎解读；③回推单元——人口 2019、漳州 2024 产业承接为全省定锚回推，作稳健性起点而非主结论依据。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综合四方面检验：双核—腹地的二元格局对标准化基准（双轨）、赋权方式（等权/熵值）、耦合度形式（√式/ε下限/平方式）与口径选择（C/B/X）均稳健；可受影响的仅是腹地内部主障碍的“量值”而非“格局”，且已以双轨分别表述。因此，本文的典型事实是可靠的测度结论，可作为后续因果研究的事实前提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六、结论与政策建议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本文以四环节功能链测度并诊断了福建省 AI 人才的教育—产业耦合协调。主要结论：①福建 AI 人才供需匹配呈“双核—腹地”二元结构，双核优质协调、腹地长期失调，且差距未随时间收敛；②福州“教育领先”、厦门“产业领先”构成镜像，跨核互补最强；③腹地失调多为功能链整体发育不足而非单点错配，且彼此组团难以自我协同；④区域均衡改善源于“教育领先↔产业领先”的跨极配对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提出差异化政策建议：其一，双核应强化“跨核互补”，推动福州的教育优势与厦门的产业优势对接（如联合培养、产业飞地、人才与项目跨市流动机制），而非各自重复布局；其二，腹地城市不宜“抱团取暖”，应优先接入核心都市圈、承接其溢出，同时针对其“整体发育不足”采取“基础设施 + 基础专业 + 基础产业”的整链培育，而非单点投入；其三，对供给质量为真零的城市（如宁德），应以引进或共建一流专业建设点补质量短板，避免“有规模无质量”的扩张型供给；其四，对教育领先而产业转化滞后的城市（如福州），重点在打通“承接—转化”的产业内部链节，使人才产出落地为创新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实施机制上，上述建议可落于三个抓手：一是“分型施治”的政策工具箱——对“双低·全面薄弱”型（龙岩、三明、南平）以接入都市圈、共建实训与产业平台为主，对“产业拉动·教育缺位”型（宁德）以引进/共建一流专业建设点、定向培养为主，对“教育领先·转化滞后”型（福州）以强化产学研转化、培育本地承接载体为主；二是“双核引擎”的跨市机制——以人才编制周转、科研飞地、产业飞地等突破行政边界，把福州的供给与厦门的需求对接；三是“以评促建”的监测——以本文的功能链局部 CCD 与障碍度作为常态化监测工具，定期诊断各市短板链节、动态校准政策投放，避免“一刀切扩招”造成新的结构错配。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面向因果识别的可检验假设：本文的典型事实可直接转写为后续可证伪的因果命题，供以政策冲击识别（另文）——H1（产教融合的因果效应）：现代产业学院的设立显著提升受影响高校/地区的人才供给质量与产教匹配，可用其分批获批构造交叠 DiD 与事件研究检验；H2（金融的调节）：上述效应在金融发展水平更高的地区更强，可用三重差分检验；H3（核心—腹地异质）：政策效应对腹地城市更大抑或被双核虹吸，存在结构异质，可分组检验。三者均以现代产业学院获批名单、高校层面供给与毕业生匹配数据为识别基础，并以平行趋势、安慰剂与选择性偏误校正（PSM/交叠稳健估计量）保证可信度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本文的局限与展望：①金融调节未纳入实证，后续将以教育政策冲击构建准实验、识别金融对 E—I 耦合的因果调节（另文）；②专利数据存在轻微右截断，最末 1—2 年的产业转化宜谨慎解读；③min-max 标准化的零值地板与压缩效应已以双轨与多形式稳健性缓解，但仍是测度的内在限制；④边界组合基准为探索性，因果协同有待流动数据验证；⑤供给质量复合目前仅含一流专业成分，学位点等成分待补后将进一步细化教育质量刻画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最后需强调本文方法的可推广性与边界。功能链局部 CCD、双轨障碍诊断与边界约束组合基准三者并不依赖“教育—产业”这一特定情境，而可移植于任何“多环节、强空间异质”的区域系统协调测度（如“科技—金融—产业”“生态—经济—社会”）；其共同的方法论立场是：在用聚合指标下判断之前，先检验聚合是否掩盖了结构、标准化是否制造了假象、组合是否尊重了边界。就本文而言，这一立场带来的最重要结论是——福建 AI 人才供需的症结不在“量”而在“结构”，政策着力点应从“规模扩张”转向“链节疏通”与“核心—腹地的结构对接”。后续工作将沿第六节的可检验假设，以现代产业学院等政策冲击对这些结构性事实作因果检验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参考文献</w:t>
      </w:r>
    </w:p>
    <w:p>
      <w:pPr>
        <w:spacing w:before="40" w:after="80" w:line="360" w:lineRule="auto"/>
        <w:ind w:firstLine="360"/>
        <w:jc w:val="both"/>
      </w:pPr>
      <w:r>
        <w:rPr>
          <w:rFonts w:ascii="Songti SC" w:hAnsi="Songti SC" w:eastAsia="Songti SC"/>
          <w:b w:val="0"/>
          <w:color w:val="888888"/>
          <w:sz w:val="18"/>
        </w:rPr>
        <w:t>（仅列已核实条目；正文中以【待补】标注处，待经 CNKI/期刊原文核出完整出处后补入，本稿不以未核实文献充数。）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[1] 廖重斌. 环境与经济协调发展的定量评判及其分类体系——以珠江三角洲城市群为例[J]. 热带地理, 1999, 19(2): 171-177.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[2] 王淑佳, 孔伟, 任亮, 等. 国内耦合协调度模型的误区及修正[J]. 自然资源学报, 2021, 36(3): 793-810.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[3] Zhang M, Hu Y, Mao Y, et al. 经济—社会—基础设施—生态韧性系统的耦合协调研究：以浙江省为例[J]. PLOS ONE, 2025. doi:10.1371/journal.pone.0323673.（题名以原文为准）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[4] Openshaw S. The Modifiable Areal Unit Problem[M]. Norwich: GeoBooks, 1984.（Concepts and Techniques in Modern Geography, No.38）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[5] Assunção R M, Neves M C, Câmara G, et al. Efficient regionalization techniques for socio-economic geographical units using minimum spanning trees[J]. International Journal of Geographical Information Science, 2006, 20(7): 797-811.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[6] 教育部, 财政部, 国家发展改革委. “双一流”建设成效评价办法（试行）[Z]. 2021.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[7] 教育部办公厅. 关于实施一流本科专业建设“双万计划”的通知（教高厅函〔2019〕18号）[Z]. 2019.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[8] 蔡文伯, 赵志强, 喻雪. 成渝地区双城经济圈高等教育—科技创新—经济发展动态耦合协同研究[J]. 西南大学学报（社会科学版）, 2022, 48(1): 130-143.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[9] 谢萌萌, 夏炎, 潘教峰, 郭剑锋. 人工智能、技术进步与低技能就业——基于中国制造业企业的实证研究[J]. 中国管理科学, 2020, 28(12): 54-66.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[10] 王彦杰, 高启杰, 杨瑞. 我国数字经济发展水平测度及障碍因子诊断研究[J]. 现代管理科学, 2022(3).（页码待补核）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已补入并核实（见上 [8]—[10]）：CCD 教育应用[8]、AI 就业效应[9]、障碍度模型与熵值法应用[10]。尚需补充（务必核出完整出处后再引）：①人才供需匹配/技能错配测度；②产教融合/教育—产业协同定量实证；③福建数字经济/AI 产业与人才缺口的权威数据来源（脚注用）；④[10] 的起止页码待核补。</w:t>
      </w:r>
    </w:p>
    <w:p>
      <w:pPr>
        <w:spacing w:before="200" w:after="80" w:line="360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（论文初稿 · 2026-06-25 · 数值取自管道实跑结果，与《数据与检验》技术附件一致；参考文献仅列已核实条目，未核实处以【待补】标注，绝不杜撰。）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