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rFonts w:ascii="Microsoft YaHei" w:hAnsi="Microsoft YaHei" w:eastAsia="Microsoft YaHei"/>
          <w:b w:val="0"/>
          <w:color w:val="1F2933"/>
          <w:sz w:val="21"/>
        </w:rPr>
      </w:r>
    </w:p>
    <w:p>
      <w:pPr>
        <w:spacing w:after="120" w:line="276" w:lineRule="auto"/>
      </w:pPr>
      <w:r>
        <w:rPr>
          <w:rFonts w:ascii="Microsoft YaHei" w:hAnsi="Microsoft YaHei" w:eastAsia="Microsoft YaHei"/>
          <w:b w:val="0"/>
          <w:color w:val="1F2933"/>
          <w:sz w:val="21"/>
        </w:rPr>
      </w:r>
    </w:p>
    <w:p>
      <w:pPr>
        <w:spacing w:after="120" w:line="276" w:lineRule="auto"/>
      </w:pPr>
      <w:r>
        <w:rPr>
          <w:rFonts w:ascii="Microsoft YaHei" w:hAnsi="Microsoft YaHei" w:eastAsia="Microsoft YaHei"/>
          <w:b w:val="0"/>
          <w:color w:val="1F2933"/>
          <w:sz w:val="21"/>
        </w:rPr>
      </w:r>
    </w:p>
    <w:p>
      <w:pPr>
        <w:spacing w:after="160"/>
        <w:jc w:val="center"/>
      </w:pPr>
      <w:r>
        <w:rPr>
          <w:rFonts w:ascii="Microsoft YaHei" w:hAnsi="Microsoft YaHei" w:eastAsia="Microsoft YaHei"/>
          <w:b/>
          <w:color w:val="1F4E79"/>
          <w:sz w:val="44"/>
        </w:rPr>
        <w:t>硕士论文导师讨论稿</w:t>
      </w:r>
    </w:p>
    <w:p>
      <w:pPr>
        <w:jc w:val="center"/>
      </w:pPr>
      <w:r>
        <w:rPr>
          <w:rFonts w:ascii="Microsoft YaHei" w:hAnsi="Microsoft YaHei" w:eastAsia="Microsoft YaHei"/>
          <w:b/>
          <w:color w:val="1F2933"/>
          <w:sz w:val="30"/>
        </w:rPr>
        <w:t>开题式框架与问题清单</w:t>
      </w:r>
    </w:p>
    <w:p>
      <w:pPr>
        <w:spacing w:after="40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4929"/>
        <w:gridCol w:w="4929"/>
      </w:tblGrid>
      <w:tr>
        <w:trPr>
          <w:tblHeader w:val="true"/>
        </w:trPr>
        <w:tc>
          <w:tcPr>
            <w:tcW w:type="dxa" w:w="1814"/>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项目</w:t>
            </w:r>
          </w:p>
        </w:tc>
        <w:tc>
          <w:tcPr>
            <w:tcW w:type="dxa" w:w="6917"/>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内容</w:t>
            </w:r>
          </w:p>
        </w:tc>
      </w:tr>
      <w:tr>
        <w:tc>
          <w:tcPr>
            <w:tcW w:type="dxa" w:w="181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拟定题目</w:t>
            </w:r>
          </w:p>
        </w:tc>
        <w:tc>
          <w:tcPr>
            <w:tcW w:type="dxa" w:w="691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金融支持、AI教育供给与人工智能产业发展的转化机制研究——基于福建省的实证分析</w:t>
            </w:r>
          </w:p>
        </w:tc>
      </w:tr>
      <w:tr>
        <w:tc>
          <w:tcPr>
            <w:tcW w:type="dxa" w:w="181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讨论时间</w:t>
            </w:r>
          </w:p>
        </w:tc>
        <w:tc>
          <w:tcPr>
            <w:tcW w:type="dxa" w:w="6917"/>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2026年5月</w:t>
            </w:r>
          </w:p>
        </w:tc>
      </w:tr>
      <w:tr>
        <w:tc>
          <w:tcPr>
            <w:tcW w:type="dxa" w:w="181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讨论目的</w:t>
            </w:r>
          </w:p>
        </w:tc>
        <w:tc>
          <w:tcPr>
            <w:tcW w:type="dxa" w:w="691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确认选题边界、指标口径、数据可行性和实证主线</w:t>
            </w:r>
          </w:p>
        </w:tc>
      </w:tr>
      <w:tr>
        <w:tc>
          <w:tcPr>
            <w:tcW w:type="dxa" w:w="181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使用方式</w:t>
            </w:r>
          </w:p>
        </w:tc>
        <w:tc>
          <w:tcPr>
            <w:tcW w:type="dxa" w:w="6917"/>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每节右后方/下方留有讨论空间，可现场记录导师意见</w:t>
            </w:r>
          </w:p>
        </w:tc>
      </w:tr>
    </w:tbl>
    <w:p>
      <w:pPr>
        <w:spacing w:after="80" w:line="276" w:lineRule="auto"/>
      </w:pPr>
      <w:r>
        <w:rPr>
          <w:rFonts w:ascii="Microsoft YaHei" w:hAnsi="Microsoft YaHei" w:eastAsia="Microsoft YaHei"/>
          <w:b w:val="0"/>
          <w:color w:val="1F2933"/>
          <w:sz w:val="21"/>
        </w:rPr>
      </w:r>
    </w:p>
    <w:tbl>
      <w:tblPr>
        <w:tblW w:type="auto" w:w="0"/>
        <w:jc w:val="center"/>
        <w:tblLook w:firstColumn="1" w:firstRow="1" w:lastColumn="0" w:lastRow="0" w:noHBand="0" w:noVBand="1" w:val="04A0"/>
      </w:tblPr>
      <w:tblGrid>
        <w:gridCol w:w="9858"/>
      </w:tblGrid>
      <w:tr>
        <w:tc>
          <w:tcPr>
            <w:tcW w:type="dxa" w:w="9858"/>
            <w:shd w:fill="FFF8E5"/>
            <w:tcBorders>
              <w:top w:val="single" w:sz="6" w:space="0" w:color="B8CCE4"/>
              <w:left w:val="single" w:sz="6" w:space="0" w:color="B8CCE4"/>
              <w:bottom w:val="single" w:sz="6" w:space="0" w:color="B8CCE4"/>
              <w:right w:val="single" w:sz="6" w:space="0" w:color="B8CCE4"/>
            </w:tcBorders>
            <w:tcMar>
              <w:top w:w="180" w:type="dxa"/>
              <w:start w:w="180" w:type="dxa"/>
              <w:bottom w:w="180" w:type="dxa"/>
              <w:end w:w="180" w:type="dxa"/>
            </w:tcMar>
          </w:tcPr>
          <w:p>
            <w:pPr>
              <w:spacing w:after="60"/>
            </w:pPr>
            <w:r>
              <w:rPr>
                <w:rFonts w:ascii="Microsoft YaHei" w:hAnsi="Microsoft YaHei" w:eastAsia="Microsoft YaHei"/>
                <w:b/>
                <w:color w:val="1F4E79"/>
                <w:sz w:val="21"/>
              </w:rPr>
              <w:t>核心提醒</w:t>
            </w:r>
          </w:p>
          <w:p>
            <w:pPr>
              <w:spacing w:line="288" w:lineRule="auto" w:after="0"/>
            </w:pPr>
            <w:r>
              <w:rPr>
                <w:rFonts w:ascii="Microsoft YaHei" w:hAnsi="Microsoft YaHei" w:eastAsia="Microsoft YaHei"/>
                <w:color w:val="1F2933"/>
                <w:sz w:val="20"/>
              </w:rPr>
              <w:t>这份材料不是论文定稿，而是为了明天与导师高效讨论。建议优先请导师判断：题目是否需要收窄、AI指标口径是否认可、金融调节效应能否作为主模型。</w:t>
            </w:r>
          </w:p>
        </w:tc>
      </w:tr>
    </w:tbl>
    <w:p>
      <w:pPr>
        <w:spacing w:after="4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导师对题目与总体方向的初步意见</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r>
        <w:br w:type="page"/>
      </w:r>
    </w:p>
    <w:p>
      <w:pPr>
        <w:pStyle w:val="Heading1"/>
        <w:spacing w:before="160" w:after="120"/>
      </w:pPr>
      <w:r>
        <w:rPr>
          <w:rFonts w:ascii="Microsoft YaHei" w:hAnsi="Microsoft YaHei" w:eastAsia="Microsoft YaHei"/>
          <w:b/>
          <w:color w:val="1F4E79"/>
          <w:sz w:val="30"/>
        </w:rPr>
        <w:t>一、研究背景与问题提出</w:t>
      </w:r>
    </w:p>
    <w:p>
      <w:pPr>
        <w:spacing w:after="80" w:line="276" w:lineRule="auto"/>
      </w:pPr>
      <w:r>
        <w:rPr>
          <w:rFonts w:ascii="Microsoft YaHei" w:hAnsi="Microsoft YaHei" w:eastAsia="Microsoft YaHei"/>
          <w:b w:val="0"/>
          <w:color w:val="1F2933"/>
          <w:sz w:val="21"/>
        </w:rPr>
        <w:t>人工智能已成为区域产业竞争和产业升级的重要方向。福建省具备电子信息、软件服务、智能制造、数字经济等基础，但与北京、上海、广东、浙江等AI先发地区相比，AI产业集聚、资本支持和成果转化能力仍有提升空间。</w:t>
      </w:r>
    </w:p>
    <w:p>
      <w:pPr>
        <w:spacing w:after="80" w:line="276" w:lineRule="auto"/>
      </w:pPr>
      <w:r>
        <w:rPr>
          <w:rFonts w:ascii="Microsoft YaHei" w:hAnsi="Microsoft YaHei" w:eastAsia="Microsoft YaHei"/>
          <w:b w:val="0"/>
          <w:color w:val="1F2933"/>
          <w:sz w:val="21"/>
        </w:rPr>
        <w:t>既有高等教育科类结构与产业结构耦合研究，通常以三次产业分类为基础。本文的难点在于：人工智能不是传统单一产业门类，而是覆盖第一、第二、第三产业的通用技术。因此，论文需要建立更清晰的AI教育供给、AI产业发展和金融支持指标口径。</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讨论点</w:t>
            </w:r>
          </w:p>
        </w:tc>
        <w:tc>
          <w:tcPr>
            <w:tcW w:type="dxa" w:w="3969"/>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当前判断</w:t>
            </w:r>
          </w:p>
        </w:tc>
        <w:tc>
          <w:tcPr>
            <w:tcW w:type="dxa" w:w="306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需导师确认</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研究对象</w:t>
            </w:r>
          </w:p>
        </w:tc>
        <w:tc>
          <w:tcPr>
            <w:tcW w:type="dxa" w:w="396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福建省AI领域金融、教育、产业三系统</w:t>
            </w:r>
          </w:p>
        </w:tc>
        <w:tc>
          <w:tcPr>
            <w:tcW w:type="dxa" w:w="30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是否聚焦福建，还是加入对照省份</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核心问题</w:t>
            </w:r>
          </w:p>
        </w:tc>
        <w:tc>
          <w:tcPr>
            <w:tcW w:type="dxa" w:w="396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金融支持是否影响AI教育供给向AI产业发展的转化效率</w:t>
            </w:r>
          </w:p>
        </w:tc>
        <w:tc>
          <w:tcPr>
            <w:tcW w:type="dxa" w:w="306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是否比“三系统耦合协调”更适合作为主线</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理论起点</w:t>
            </w:r>
          </w:p>
        </w:tc>
        <w:tc>
          <w:tcPr>
            <w:tcW w:type="dxa" w:w="396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商润泽教育-产业耦合框架</w:t>
            </w:r>
          </w:p>
        </w:tc>
        <w:tc>
          <w:tcPr>
            <w:tcW w:type="dxa" w:w="30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是否可作为开题主要理论起点</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关键难点</w:t>
            </w:r>
          </w:p>
        </w:tc>
        <w:tc>
          <w:tcPr>
            <w:tcW w:type="dxa" w:w="396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AI指标口径和产业分类边界</w:t>
            </w:r>
          </w:p>
        </w:tc>
        <w:tc>
          <w:tcPr>
            <w:tcW w:type="dxa" w:w="306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保守/核心/扩展口径是否可接受</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导师意见：研究背景与问题意识</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二、拟定题目与研究主线</w:t>
      </w:r>
    </w:p>
    <w:tbl>
      <w:tblPr>
        <w:tblW w:type="auto" w:w="0"/>
        <w:jc w:val="center"/>
        <w:tblLook w:firstColumn="1" w:firstRow="1" w:lastColumn="0" w:lastRow="0" w:noHBand="0" w:noVBand="1" w:val="04A0"/>
      </w:tblPr>
      <w:tblGrid>
        <w:gridCol w:w="9858"/>
      </w:tblGrid>
      <w:tr>
        <w:tc>
          <w:tcPr>
            <w:tcW w:type="dxa" w:w="9858"/>
            <w:shd w:fill="EAF2F8"/>
            <w:tcBorders>
              <w:top w:val="single" w:sz="6" w:space="0" w:color="B8CCE4"/>
              <w:left w:val="single" w:sz="6" w:space="0" w:color="B8CCE4"/>
              <w:bottom w:val="single" w:sz="6" w:space="0" w:color="B8CCE4"/>
              <w:right w:val="single" w:sz="6" w:space="0" w:color="B8CCE4"/>
            </w:tcBorders>
            <w:tcMar>
              <w:top w:w="180" w:type="dxa"/>
              <w:start w:w="180" w:type="dxa"/>
              <w:bottom w:w="180" w:type="dxa"/>
              <w:end w:w="180" w:type="dxa"/>
            </w:tcMar>
          </w:tcPr>
          <w:p>
            <w:pPr>
              <w:spacing w:after="60"/>
            </w:pPr>
            <w:r>
              <w:rPr>
                <w:rFonts w:ascii="Microsoft YaHei" w:hAnsi="Microsoft YaHei" w:eastAsia="Microsoft YaHei"/>
                <w:b/>
                <w:color w:val="1F4E79"/>
                <w:sz w:val="21"/>
              </w:rPr>
              <w:t>建议主线</w:t>
            </w:r>
          </w:p>
          <w:p>
            <w:pPr>
              <w:spacing w:line="288" w:lineRule="auto" w:after="0"/>
            </w:pPr>
            <w:r>
              <w:rPr>
                <w:rFonts w:ascii="Microsoft YaHei" w:hAnsi="Microsoft YaHei" w:eastAsia="Microsoft YaHei"/>
                <w:color w:val="1F2933"/>
                <w:sz w:val="20"/>
              </w:rPr>
              <w:t>不把论文写成单纯测算D值的“三系统耦合协调研究”，而是围绕“金融支持是否强化AI教育供给向AI产业发展的转化效率”展开。</w:t>
            </w:r>
          </w:p>
        </w:tc>
      </w:tr>
    </w:tbl>
    <w:p>
      <w:pPr>
        <w:spacing w:after="4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247"/>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方案</w:t>
            </w:r>
          </w:p>
        </w:tc>
        <w:tc>
          <w:tcPr>
            <w:tcW w:type="dxa" w:w="5102"/>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题目</w:t>
            </w:r>
          </w:p>
        </w:tc>
        <w:tc>
          <w:tcPr>
            <w:tcW w:type="dxa" w:w="238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评价</w:t>
            </w:r>
          </w:p>
        </w:tc>
      </w:tr>
      <w:tr>
        <w:tc>
          <w:tcPr>
            <w:tcW w:type="dxa" w:w="124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优先</w:t>
            </w:r>
          </w:p>
        </w:tc>
        <w:tc>
          <w:tcPr>
            <w:tcW w:type="dxa" w:w="51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金融支持、AI教育供给与人工智能产业发展的转化机制研究——基于福建省的实证分析</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金融专硕特色更清楚，机制检验主线明确</w:t>
            </w:r>
          </w:p>
        </w:tc>
      </w:tr>
      <w:tr>
        <w:tc>
          <w:tcPr>
            <w:tcW w:type="dxa" w:w="1247"/>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备选</w:t>
            </w:r>
          </w:p>
        </w:tc>
        <w:tc>
          <w:tcPr>
            <w:tcW w:type="dxa" w:w="510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金融支持如何影响AI教育供给向AI产业发展的转化——基于福建省及对照省份的实证研究</w:t>
            </w:r>
          </w:p>
        </w:tc>
        <w:tc>
          <w:tcPr>
            <w:tcW w:type="dxa" w:w="238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问题导向更强，但题目略口语</w:t>
            </w:r>
          </w:p>
        </w:tc>
      </w:tr>
      <w:tr>
        <w:tc>
          <w:tcPr>
            <w:tcW w:type="dxa" w:w="124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不优先</w:t>
            </w:r>
          </w:p>
        </w:tc>
        <w:tc>
          <w:tcPr>
            <w:tcW w:type="dxa" w:w="51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福建省人工智能领域金融-教育-产业三系统耦合协调研究</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容易变成单纯测度，金融主线偏弱</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导师意见：题目是否调整</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三、研究目标、问题与假设</w:t>
      </w:r>
    </w:p>
    <w:tbl>
      <w:tblPr>
        <w:tblW w:type="auto" w:w="0"/>
        <w:jc w:val="center"/>
        <w:tblLayout w:type="autofit"/>
        <w:tblLook w:firstColumn="1" w:firstRow="1" w:lastColumn="0" w:lastRow="0" w:noHBand="0" w:noVBand="1" w:val="04A0"/>
      </w:tblPr>
      <w:tblGrid>
        <w:gridCol w:w="4929"/>
        <w:gridCol w:w="4929"/>
      </w:tblGrid>
      <w:tr>
        <w:trPr>
          <w:tblHeader w:val="true"/>
        </w:trPr>
        <w:tc>
          <w:tcPr>
            <w:tcW w:type="dxa" w:w="1417"/>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类型</w:t>
            </w:r>
          </w:p>
        </w:tc>
        <w:tc>
          <w:tcPr>
            <w:tcW w:type="dxa" w:w="7313"/>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内容</w:t>
            </w:r>
          </w:p>
        </w:tc>
      </w:tr>
      <w:tr>
        <w:tc>
          <w:tcPr>
            <w:tcW w:type="dxa" w:w="141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总体目标</w:t>
            </w:r>
          </w:p>
        </w:tc>
        <w:tc>
          <w:tcPr>
            <w:tcW w:type="dxa" w:w="7313"/>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构建AI领域金融支持、AI教育供给与AI产业发展的分析框架，识别福建省三系统协调短板，并检验金融支持是否提升教育供给向产业发展的转化效率。</w:t>
            </w:r>
          </w:p>
        </w:tc>
      </w:tr>
      <w:tr>
        <w:tc>
          <w:tcPr>
            <w:tcW w:type="dxa" w:w="1417"/>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RQ1</w:t>
            </w:r>
          </w:p>
        </w:tc>
        <w:tc>
          <w:tcPr>
            <w:tcW w:type="dxa" w:w="7313"/>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AI教育是否具有从一般高等教育和计算机教育中相对独立出来的理论与经验依据？</w:t>
            </w:r>
          </w:p>
        </w:tc>
      </w:tr>
      <w:tr>
        <w:tc>
          <w:tcPr>
            <w:tcW w:type="dxa" w:w="141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RQ2</w:t>
            </w:r>
          </w:p>
        </w:tc>
        <w:tc>
          <w:tcPr>
            <w:tcW w:type="dxa" w:w="7313"/>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福建省AI领域金融支持、AI教育供给和AI产业发展分别处于什么状态？</w:t>
            </w:r>
          </w:p>
        </w:tc>
      </w:tr>
      <w:tr>
        <w:tc>
          <w:tcPr>
            <w:tcW w:type="dxa" w:w="1417"/>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RQ3</w:t>
            </w:r>
          </w:p>
        </w:tc>
        <w:tc>
          <w:tcPr>
            <w:tcW w:type="dxa" w:w="7313"/>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福建省AI领域三系统耦合协调水平如何，短板来自哪个子系统和哪些指标？</w:t>
            </w:r>
          </w:p>
        </w:tc>
      </w:tr>
      <w:tr>
        <w:tc>
          <w:tcPr>
            <w:tcW w:type="dxa" w:w="1417"/>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RQ4</w:t>
            </w:r>
          </w:p>
        </w:tc>
        <w:tc>
          <w:tcPr>
            <w:tcW w:type="dxa" w:w="7313"/>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金融支持是否强化AI教育供给对AI产业发展的促进作用？</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134"/>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假设</w:t>
            </w:r>
          </w:p>
        </w:tc>
        <w:tc>
          <w:tcPr>
            <w:tcW w:type="dxa" w:w="5896"/>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表述</w:t>
            </w:r>
          </w:p>
        </w:tc>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是否保留</w:t>
            </w:r>
          </w:p>
        </w:tc>
      </w:tr>
      <w:tr>
        <w:tc>
          <w:tcPr>
            <w:tcW w:type="dxa" w:w="113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H1</w:t>
            </w:r>
          </w:p>
        </w:tc>
        <w:tc>
          <w:tcPr>
            <w:tcW w:type="dxa" w:w="5896"/>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AI教育供给水平越高，AI产业发展水平越高。</w:t>
            </w:r>
          </w:p>
        </w:tc>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建议保留</w:t>
            </w:r>
          </w:p>
        </w:tc>
      </w:tr>
      <w:tr>
        <w:tc>
          <w:tcPr>
            <w:tcW w:type="dxa" w:w="113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H2</w:t>
            </w:r>
          </w:p>
        </w:tc>
        <w:tc>
          <w:tcPr>
            <w:tcW w:type="dxa" w:w="5896"/>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金融支持水平越高，AI产业发展水平越高。</w:t>
            </w:r>
          </w:p>
        </w:tc>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建议保留</w:t>
            </w:r>
          </w:p>
        </w:tc>
      </w:tr>
      <w:tr>
        <w:tc>
          <w:tcPr>
            <w:tcW w:type="dxa" w:w="113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H3</w:t>
            </w:r>
          </w:p>
        </w:tc>
        <w:tc>
          <w:tcPr>
            <w:tcW w:type="dxa" w:w="5896"/>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金融支持能够正向调节AI教育供给对AI产业发展的影响。</w:t>
            </w:r>
          </w:p>
        </w:tc>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核心假设</w:t>
            </w:r>
          </w:p>
        </w:tc>
      </w:tr>
      <w:tr>
        <w:tc>
          <w:tcPr>
            <w:tcW w:type="dxa" w:w="113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H4</w:t>
            </w:r>
          </w:p>
        </w:tc>
        <w:tc>
          <w:tcPr>
            <w:tcW w:type="dxa" w:w="5896"/>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福建省协调不足的短板更可能集中在金融资本供给和产业转化环节。</w:t>
            </w:r>
          </w:p>
        </w:tc>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描述性假设</w:t>
            </w:r>
          </w:p>
        </w:tc>
      </w:tr>
      <w:tr>
        <w:tc>
          <w:tcPr>
            <w:tcW w:type="dxa" w:w="113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H5</w:t>
            </w:r>
          </w:p>
        </w:tc>
        <w:tc>
          <w:tcPr>
            <w:tcW w:type="dxa" w:w="5896"/>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第三产业AI应用强度越高，AI教育供给向AI产业转化效率越高。</w:t>
            </w:r>
          </w:p>
        </w:tc>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可作为拓展/异质性</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导师意见：研究问题与假设</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r>
        <w:br w:type="page"/>
      </w:r>
    </w:p>
    <w:p>
      <w:pPr>
        <w:pStyle w:val="Heading1"/>
        <w:spacing w:before="160" w:after="120"/>
      </w:pPr>
      <w:r>
        <w:rPr>
          <w:rFonts w:ascii="Microsoft YaHei" w:hAnsi="Microsoft YaHei" w:eastAsia="Microsoft YaHei"/>
          <w:b/>
          <w:color w:val="1F4E79"/>
          <w:sz w:val="30"/>
        </w:rPr>
        <w:t>四、理论框架与机制逻辑</w:t>
      </w:r>
    </w:p>
    <w:p>
      <w:pPr>
        <w:spacing w:after="80" w:line="276" w:lineRule="auto"/>
      </w:pPr>
      <w:r>
        <w:rPr>
          <w:rFonts w:ascii="Microsoft YaHei" w:hAnsi="Microsoft YaHei" w:eastAsia="Microsoft YaHei"/>
          <w:b w:val="0"/>
          <w:color w:val="1F2933"/>
          <w:sz w:val="21"/>
        </w:rPr>
        <w:t>本文继承商润泽关于高等教育科类结构与产业结构耦合的理论逻辑，但不直接套用三次产业分类，而是将一般高等教育结构细化为AI教育供给，将一般产业结构细化为AI产业发展，并引入金融支持作为成果转化过程中的关键条件。</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理论模块</w:t>
            </w:r>
          </w:p>
        </w:tc>
        <w:tc>
          <w:tcPr>
            <w:tcW w:type="dxa" w:w="4195"/>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核心解释</w:t>
            </w:r>
          </w:p>
        </w:tc>
        <w:tc>
          <w:tcPr>
            <w:tcW w:type="dxa" w:w="2835"/>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可观察证据</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AI教育独立性</w:t>
            </w:r>
          </w:p>
        </w:tc>
        <w:tc>
          <w:tcPr>
            <w:tcW w:type="dxa" w:w="419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AI教育在知识体系、课程结构、能力目标和组织形态上具有相对独立性。</w:t>
            </w:r>
          </w:p>
        </w:tc>
        <w:tc>
          <w:tcPr>
            <w:tcW w:type="dxa" w:w="283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教育部专业备案、高校培养方案、AI课程、硕博点</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教育到产业</w:t>
            </w:r>
          </w:p>
        </w:tc>
        <w:tc>
          <w:tcPr>
            <w:tcW w:type="dxa" w:w="419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AI教育供给通过人才、论文、专利、实验室等形成产业可吸收资源。</w:t>
            </w:r>
          </w:p>
        </w:tc>
        <w:tc>
          <w:tcPr>
            <w:tcW w:type="dxa" w:w="283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AI专业、论文、专利、校企实验室</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金融转化器</w:t>
            </w:r>
          </w:p>
        </w:tc>
        <w:tc>
          <w:tcPr>
            <w:tcW w:type="dxa" w:w="419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金融支持通过资本供给、风险分担、创新筛选和治理约束，提升成果转化效率。</w:t>
            </w:r>
          </w:p>
        </w:tc>
        <w:tc>
          <w:tcPr>
            <w:tcW w:type="dxa" w:w="283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AI融资事件、VC/PE、政府基金、数字金融</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产业吸纳机制</w:t>
            </w:r>
          </w:p>
        </w:tc>
        <w:tc>
          <w:tcPr>
            <w:tcW w:type="dxa" w:w="419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第三产业中信息、金融、医疗、教育、政务等部门更易形成AI规模化应用。</w:t>
            </w:r>
          </w:p>
        </w:tc>
        <w:tc>
          <w:tcPr>
            <w:tcW w:type="dxa" w:w="283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第三产业AI企业/岗位/专利/融资占比</w:t>
            </w:r>
          </w:p>
        </w:tc>
      </w:tr>
    </w:tbl>
    <w:p>
      <w:pPr>
        <w:spacing w:after="80" w:line="276" w:lineRule="auto"/>
      </w:pPr>
      <w:r>
        <w:rPr>
          <w:rFonts w:ascii="Microsoft YaHei" w:hAnsi="Microsoft YaHei" w:eastAsia="Microsoft YaHei"/>
          <w:b w:val="0"/>
          <w:color w:val="1F2933"/>
          <w:sz w:val="21"/>
        </w:rPr>
      </w:r>
    </w:p>
    <w:tbl>
      <w:tblPr>
        <w:tblW w:type="auto" w:w="0"/>
        <w:jc w:val="center"/>
        <w:tblLook w:firstColumn="1" w:firstRow="1" w:lastColumn="0" w:lastRow="0" w:noHBand="0" w:noVBand="1" w:val="04A0"/>
      </w:tblPr>
      <w:tblGrid>
        <w:gridCol w:w="9858"/>
      </w:tblGrid>
      <w:tr>
        <w:tc>
          <w:tcPr>
            <w:tcW w:type="dxa" w:w="9858"/>
            <w:shd w:fill="EAF2F8"/>
            <w:tcBorders>
              <w:top w:val="single" w:sz="6" w:space="0" w:color="B8CCE4"/>
              <w:left w:val="single" w:sz="6" w:space="0" w:color="B8CCE4"/>
              <w:bottom w:val="single" w:sz="6" w:space="0" w:color="B8CCE4"/>
              <w:right w:val="single" w:sz="6" w:space="0" w:color="B8CCE4"/>
            </w:tcBorders>
            <w:tcMar>
              <w:top w:w="180" w:type="dxa"/>
              <w:start w:w="180" w:type="dxa"/>
              <w:bottom w:w="180" w:type="dxa"/>
              <w:end w:w="180" w:type="dxa"/>
            </w:tcMar>
          </w:tcPr>
          <w:p>
            <w:pPr>
              <w:spacing w:after="60"/>
            </w:pPr>
            <w:r>
              <w:rPr>
                <w:rFonts w:ascii="Microsoft YaHei" w:hAnsi="Microsoft YaHei" w:eastAsia="Microsoft YaHei"/>
                <w:b/>
                <w:color w:val="1F4E79"/>
                <w:sz w:val="21"/>
              </w:rPr>
              <w:t>机制主线</w:t>
            </w:r>
          </w:p>
          <w:p>
            <w:pPr>
              <w:spacing w:line="288" w:lineRule="auto" w:after="0"/>
            </w:pPr>
            <w:r>
              <w:rPr>
                <w:rFonts w:ascii="Microsoft YaHei" w:hAnsi="Microsoft YaHei" w:eastAsia="Microsoft YaHei"/>
                <w:color w:val="1F2933"/>
                <w:sz w:val="20"/>
              </w:rPr>
              <w:t>AI教育供给 E -&gt; 人才、知识、专利与科研成果 -&gt; 在金融支持 F 的作用下获得融资、孵化、转化和企业成长机会 -&gt; AI产业发展 I。</w:t>
            </w:r>
          </w:p>
        </w:tc>
      </w:tr>
    </w:tbl>
    <w:p>
      <w:pPr>
        <w:spacing w:after="4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导师意见：理论框架是否成立</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五、指标体系初步设计</w:t>
      </w:r>
    </w:p>
    <w:p>
      <w:pPr>
        <w:spacing w:after="80" w:line="276" w:lineRule="auto"/>
      </w:pPr>
      <w:r>
        <w:rPr>
          <w:rFonts w:ascii="Microsoft YaHei" w:hAnsi="Microsoft YaHei" w:eastAsia="Microsoft YaHei"/>
          <w:b w:val="0"/>
          <w:color w:val="1F2933"/>
          <w:sz w:val="21"/>
        </w:rPr>
        <w:t>指标体系建议不追求三个系统的机械一一对应，而是采用“教育供给—产业吸纳—金融转化”的功能链条对应。为解决AI边界不清问题，同时设置保守、核心和扩展三类口径做稳健性检验。</w:t>
      </w:r>
    </w:p>
    <w:tbl>
      <w:tblPr>
        <w:tblW w:type="auto" w:w="0"/>
        <w:jc w:val="center"/>
        <w:tblLayout w:type="autofit"/>
        <w:tblLook w:firstColumn="1" w:firstRow="1" w:lastColumn="0" w:lastRow="0" w:noHBand="0" w:noVBand="1" w:val="04A0"/>
      </w:tblPr>
      <w:tblGrid>
        <w:gridCol w:w="2464"/>
        <w:gridCol w:w="2464"/>
        <w:gridCol w:w="2464"/>
        <w:gridCol w:w="2464"/>
      </w:tblGrid>
      <w:tr>
        <w:trPr>
          <w:tblHeader w:val="true"/>
        </w:trPr>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共同维度</w:t>
            </w:r>
          </w:p>
        </w:tc>
        <w:tc>
          <w:tcPr>
            <w:tcW w:type="dxa" w:w="238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教育系统 E</w:t>
            </w:r>
          </w:p>
        </w:tc>
        <w:tc>
          <w:tcPr>
            <w:tcW w:type="dxa" w:w="238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产业系统 I</w:t>
            </w:r>
          </w:p>
        </w:tc>
        <w:tc>
          <w:tcPr>
            <w:tcW w:type="dxa" w:w="226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金融系统 F</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规模基础</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AI相关专业数量、招生规模</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AI企业数量、AI岗位数量</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AI融资事件数、科技金融规模</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高层次能力</w:t>
            </w:r>
          </w:p>
        </w:tc>
        <w:tc>
          <w:tcPr>
            <w:tcW w:type="dxa" w:w="238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AI硕博点、高层次师资</w:t>
            </w:r>
          </w:p>
        </w:tc>
        <w:tc>
          <w:tcPr>
            <w:tcW w:type="dxa" w:w="238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AI高技术企业、专精特新企业</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VC/PE投资、政府引导基金</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知识与技术产出</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高校AI论文、高校AI专利</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企业AI专利、AI产品/项目</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科技贷款、知识产权质押融资</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转化连接</w:t>
            </w:r>
          </w:p>
        </w:tc>
        <w:tc>
          <w:tcPr>
            <w:tcW w:type="dxa" w:w="238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产业学院、校企实验室</w:t>
            </w:r>
          </w:p>
        </w:tc>
        <w:tc>
          <w:tcPr>
            <w:tcW w:type="dxa" w:w="238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技术合同、应用示范场景</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成果转化基金、概念验证基金</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应用吸纳</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毕业生去向、AI+X课程</w:t>
            </w:r>
          </w:p>
        </w:tc>
        <w:tc>
          <w:tcPr>
            <w:tcW w:type="dxa" w:w="238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第三产业AI应用强度、AI岗位需求</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投向AI应用企业的资本支持</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36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系统</w:t>
            </w:r>
          </w:p>
        </w:tc>
        <w:tc>
          <w:tcPr>
            <w:tcW w:type="dxa" w:w="3969"/>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最低可行指标</w:t>
            </w:r>
          </w:p>
        </w:tc>
        <w:tc>
          <w:tcPr>
            <w:tcW w:type="dxa" w:w="3402"/>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数据来源</w:t>
            </w:r>
          </w:p>
        </w:tc>
      </w:tr>
      <w:tr>
        <w:tc>
          <w:tcPr>
            <w:tcW w:type="dxa" w:w="13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金融 F</w:t>
            </w:r>
          </w:p>
        </w:tc>
        <w:tc>
          <w:tcPr>
            <w:tcW w:type="dxa" w:w="396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金融业增加值/GDP、存贷款余额/GDP、数字普惠金融指数、AI融资事件数</w:t>
            </w:r>
          </w:p>
        </w:tc>
        <w:tc>
          <w:tcPr>
            <w:tcW w:type="dxa" w:w="34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统计年鉴、人民银行、北大数字普惠金融指数、企查查/IT桔子/清科</w:t>
            </w:r>
          </w:p>
        </w:tc>
      </w:tr>
      <w:tr>
        <w:tc>
          <w:tcPr>
            <w:tcW w:type="dxa" w:w="136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教育 E</w:t>
            </w:r>
          </w:p>
        </w:tc>
        <w:tc>
          <w:tcPr>
            <w:tcW w:type="dxa" w:w="396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AI相关专业数量、AI论文数量、高校AI专利数量、AI相关硕博点数量</w:t>
            </w:r>
          </w:p>
        </w:tc>
        <w:tc>
          <w:tcPr>
            <w:tcW w:type="dxa" w:w="340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教育部备案、高校官网、CNKI/WoS、国家知识产权局、学位授权点名单</w:t>
            </w:r>
          </w:p>
        </w:tc>
      </w:tr>
      <w:tr>
        <w:tc>
          <w:tcPr>
            <w:tcW w:type="dxa" w:w="13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产业 I</w:t>
            </w:r>
          </w:p>
        </w:tc>
        <w:tc>
          <w:tcPr>
            <w:tcW w:type="dxa" w:w="396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AI企业数量、AI企业专利数量、技术合同成交额、AI岗位数量</w:t>
            </w:r>
          </w:p>
        </w:tc>
        <w:tc>
          <w:tcPr>
            <w:tcW w:type="dxa" w:w="34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企查查/天眼查、专利库、科技统计、招聘平台</w:t>
            </w:r>
          </w:p>
        </w:tc>
      </w:tr>
      <w:tr>
        <w:tc>
          <w:tcPr>
            <w:tcW w:type="dxa" w:w="136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控制变量</w:t>
            </w:r>
          </w:p>
        </w:tc>
        <w:tc>
          <w:tcPr>
            <w:tcW w:type="dxa" w:w="396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人均GDP、产业结构、科技财政支出/GDP、数字基础、城镇化率</w:t>
            </w:r>
          </w:p>
        </w:tc>
        <w:tc>
          <w:tcPr>
            <w:tcW w:type="dxa" w:w="340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统计年鉴、统计公报、财政年鉴、通信管理局</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导师意见：指标是否认可 / 是否删减</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r>
        <w:br w:type="page"/>
      </w:r>
    </w:p>
    <w:p>
      <w:pPr>
        <w:pStyle w:val="Heading1"/>
        <w:spacing w:before="160" w:after="120"/>
      </w:pPr>
      <w:r>
        <w:rPr>
          <w:rFonts w:ascii="Microsoft YaHei" w:hAnsi="Microsoft YaHei" w:eastAsia="Microsoft YaHei"/>
          <w:b/>
          <w:color w:val="1F4E79"/>
          <w:sz w:val="30"/>
        </w:rPr>
        <w:t>六、AI口径与三次产业问题</w:t>
      </w:r>
    </w:p>
    <w:tbl>
      <w:tblPr>
        <w:tblW w:type="auto" w:w="0"/>
        <w:jc w:val="center"/>
        <w:tblLayout w:type="autofit"/>
        <w:tblLook w:firstColumn="1" w:firstRow="1" w:lastColumn="0" w:lastRow="0" w:noHBand="0" w:noVBand="1" w:val="04A0"/>
      </w:tblPr>
      <w:tblGrid>
        <w:gridCol w:w="2464"/>
        <w:gridCol w:w="2464"/>
        <w:gridCol w:w="2464"/>
        <w:gridCol w:w="2464"/>
      </w:tblGrid>
      <w:tr>
        <w:trPr>
          <w:tblHeader w:val="true"/>
        </w:trPr>
        <w:tc>
          <w:tcPr>
            <w:tcW w:type="dxa" w:w="136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口径</w:t>
            </w:r>
          </w:p>
        </w:tc>
        <w:tc>
          <w:tcPr>
            <w:tcW w:type="dxa" w:w="255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教育 E</w:t>
            </w:r>
          </w:p>
        </w:tc>
        <w:tc>
          <w:tcPr>
            <w:tcW w:type="dxa" w:w="3515"/>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产业 I</w:t>
            </w:r>
          </w:p>
        </w:tc>
        <w:tc>
          <w:tcPr>
            <w:tcW w:type="dxa" w:w="1304"/>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用途</w:t>
            </w:r>
          </w:p>
        </w:tc>
      </w:tr>
      <w:tr>
        <w:tc>
          <w:tcPr>
            <w:tcW w:type="dxa" w:w="13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保守口径</w:t>
            </w:r>
          </w:p>
        </w:tc>
        <w:tc>
          <w:tcPr>
            <w:tcW w:type="dxa" w:w="255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人工智能、智能科学与技术</w:t>
            </w:r>
          </w:p>
        </w:tc>
        <w:tc>
          <w:tcPr>
            <w:tcW w:type="dxa" w:w="351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主营业务明确包含AI、机器学习、智能算法、大模型等</w:t>
            </w:r>
          </w:p>
        </w:tc>
        <w:tc>
          <w:tcPr>
            <w:tcW w:type="dxa" w:w="130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最严格定义，避免泛化</w:t>
            </w:r>
          </w:p>
        </w:tc>
      </w:tr>
      <w:tr>
        <w:tc>
          <w:tcPr>
            <w:tcW w:type="dxa" w:w="136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核心口径</w:t>
            </w:r>
          </w:p>
        </w:tc>
        <w:tc>
          <w:tcPr>
            <w:tcW w:type="dxa" w:w="255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保守口径 + 数据科学与大数据技术、机器人工程</w:t>
            </w:r>
          </w:p>
        </w:tc>
        <w:tc>
          <w:tcPr>
            <w:tcW w:type="dxa" w:w="351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名称、经营范围、产品、专利含AI核心关键词</w:t>
            </w:r>
          </w:p>
        </w:tc>
        <w:tc>
          <w:tcPr>
            <w:tcW w:type="dxa" w:w="130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建议作为基准</w:t>
            </w:r>
          </w:p>
        </w:tc>
      </w:tr>
      <w:tr>
        <w:tc>
          <w:tcPr>
            <w:tcW w:type="dxa" w:w="136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扩展口径</w:t>
            </w:r>
          </w:p>
        </w:tc>
        <w:tc>
          <w:tcPr>
            <w:tcW w:type="dxa" w:w="255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核心口径 + 计算机、软件、电子信息、自动化、统计、应用数学</w:t>
            </w:r>
          </w:p>
        </w:tc>
        <w:tc>
          <w:tcPr>
            <w:tcW w:type="dxa" w:w="351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核心口径 + 智能制造、工业互联网、云计算、数据服务等</w:t>
            </w:r>
          </w:p>
        </w:tc>
        <w:tc>
          <w:tcPr>
            <w:tcW w:type="dxa" w:w="130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稳健性检验</w:t>
            </w:r>
          </w:p>
        </w:tc>
      </w:tr>
    </w:tbl>
    <w:p>
      <w:pPr>
        <w:spacing w:after="80" w:line="276" w:lineRule="auto"/>
      </w:pPr>
      <w:r>
        <w:rPr>
          <w:rFonts w:ascii="Microsoft YaHei" w:hAnsi="Microsoft YaHei" w:eastAsia="Microsoft YaHei"/>
          <w:b w:val="0"/>
          <w:color w:val="1F2933"/>
          <w:sz w:val="21"/>
        </w:rPr>
      </w:r>
    </w:p>
    <w:tbl>
      <w:tblPr>
        <w:tblW w:type="auto" w:w="0"/>
        <w:jc w:val="center"/>
        <w:tblLook w:firstColumn="1" w:firstRow="1" w:lastColumn="0" w:lastRow="0" w:noHBand="0" w:noVBand="1" w:val="04A0"/>
      </w:tblPr>
      <w:tblGrid>
        <w:gridCol w:w="9858"/>
      </w:tblGrid>
      <w:tr>
        <w:tc>
          <w:tcPr>
            <w:tcW w:type="dxa" w:w="9858"/>
            <w:shd w:fill="FFF8E5"/>
            <w:tcBorders>
              <w:top w:val="single" w:sz="6" w:space="0" w:color="B8CCE4"/>
              <w:left w:val="single" w:sz="6" w:space="0" w:color="B8CCE4"/>
              <w:bottom w:val="single" w:sz="6" w:space="0" w:color="B8CCE4"/>
              <w:right w:val="single" w:sz="6" w:space="0" w:color="B8CCE4"/>
            </w:tcBorders>
            <w:tcMar>
              <w:top w:w="180" w:type="dxa"/>
              <w:start w:w="180" w:type="dxa"/>
              <w:bottom w:w="180" w:type="dxa"/>
              <w:end w:w="180" w:type="dxa"/>
            </w:tcMar>
          </w:tcPr>
          <w:p>
            <w:pPr>
              <w:spacing w:after="60"/>
            </w:pPr>
            <w:r>
              <w:rPr>
                <w:rFonts w:ascii="Microsoft YaHei" w:hAnsi="Microsoft YaHei" w:eastAsia="Microsoft YaHei"/>
                <w:b/>
                <w:color w:val="1F4E79"/>
                <w:sz w:val="21"/>
              </w:rPr>
              <w:t>与商润泽的衔接</w:t>
            </w:r>
          </w:p>
          <w:p>
            <w:pPr>
              <w:spacing w:line="288" w:lineRule="auto" w:after="0"/>
            </w:pPr>
            <w:r>
              <w:rPr>
                <w:rFonts w:ascii="Microsoft YaHei" w:hAnsi="Microsoft YaHei" w:eastAsia="Microsoft YaHei"/>
                <w:color w:val="1F2933"/>
                <w:sz w:val="20"/>
              </w:rPr>
              <w:t>商润泽使用三次产业分类研究宏观教育结构匹配；本文研究AI这一通用技术，应采用“官方口径 + 技术关键词 + 应用场景 + 稳健性口径”的复合识别方法。第三产业AI应用强度可以作为产业吸纳机制，而不替代金融主线。</w:t>
            </w:r>
          </w:p>
        </w:tc>
      </w:tr>
    </w:tbl>
    <w:p>
      <w:pPr>
        <w:spacing w:after="4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导师意见：AI分类口径与三次产业处理</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r>
        <w:br w:type="page"/>
      </w:r>
    </w:p>
    <w:p>
      <w:pPr>
        <w:pStyle w:val="Heading1"/>
        <w:spacing w:before="160" w:after="120"/>
      </w:pPr>
      <w:r>
        <w:rPr>
          <w:rFonts w:ascii="Microsoft YaHei" w:hAnsi="Microsoft YaHei" w:eastAsia="Microsoft YaHei"/>
          <w:b/>
          <w:color w:val="1F4E79"/>
          <w:sz w:val="30"/>
        </w:rPr>
        <w:t>七、研究方法与模型方案</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154"/>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方法</w:t>
            </w:r>
          </w:p>
        </w:tc>
        <w:tc>
          <w:tcPr>
            <w:tcW w:type="dxa" w:w="4649"/>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作用</w:t>
            </w:r>
          </w:p>
        </w:tc>
        <w:tc>
          <w:tcPr>
            <w:tcW w:type="dxa" w:w="192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是否作为主线</w:t>
            </w:r>
          </w:p>
        </w:tc>
      </w:tr>
      <w:tr>
        <w:tc>
          <w:tcPr>
            <w:tcW w:type="dxa" w:w="215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综合评价指数</w:t>
            </w:r>
          </w:p>
        </w:tc>
        <w:tc>
          <w:tcPr>
            <w:tcW w:type="dxa" w:w="464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计算F、E、I三个子系统发展水平</w:t>
            </w:r>
          </w:p>
        </w:tc>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保留</w:t>
            </w:r>
          </w:p>
        </w:tc>
      </w:tr>
      <w:tr>
        <w:tc>
          <w:tcPr>
            <w:tcW w:type="dxa" w:w="215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耦合协调度模型</w:t>
            </w:r>
          </w:p>
        </w:tc>
        <w:tc>
          <w:tcPr>
            <w:tcW w:type="dxa" w:w="464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回答三系统协调水平高不高</w:t>
            </w:r>
          </w:p>
        </w:tc>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保留，但作为描述性测度</w:t>
            </w:r>
          </w:p>
        </w:tc>
      </w:tr>
      <w:tr>
        <w:tc>
          <w:tcPr>
            <w:tcW w:type="dxa" w:w="215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障碍度模型</w:t>
            </w:r>
          </w:p>
        </w:tc>
        <w:tc>
          <w:tcPr>
            <w:tcW w:type="dxa" w:w="464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识别短板指标和短板系统</w:t>
            </w:r>
          </w:p>
        </w:tc>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保留</w:t>
            </w:r>
          </w:p>
        </w:tc>
      </w:tr>
      <w:tr>
        <w:tc>
          <w:tcPr>
            <w:tcW w:type="dxa" w:w="215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固定效应模型</w:t>
            </w:r>
          </w:p>
        </w:tc>
        <w:tc>
          <w:tcPr>
            <w:tcW w:type="dxa" w:w="464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检验E、F对I的影响</w:t>
            </w:r>
          </w:p>
        </w:tc>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保留</w:t>
            </w:r>
          </w:p>
        </w:tc>
      </w:tr>
      <w:tr>
        <w:tc>
          <w:tcPr>
            <w:tcW w:type="dxa" w:w="2154"/>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调节效应模型</w:t>
            </w:r>
          </w:p>
        </w:tc>
        <w:tc>
          <w:tcPr>
            <w:tcW w:type="dxa" w:w="4649"/>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检验金融支持是否强化E -&gt; I</w:t>
            </w:r>
          </w:p>
        </w:tc>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核心模型</w:t>
            </w:r>
          </w:p>
        </w:tc>
      </w:tr>
      <w:tr>
        <w:tc>
          <w:tcPr>
            <w:tcW w:type="dxa" w:w="2154"/>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空间计量/DID/政策文本</w:t>
            </w:r>
          </w:p>
        </w:tc>
        <w:tc>
          <w:tcPr>
            <w:tcW w:type="dxa" w:w="4649"/>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拓展分析</w:t>
            </w:r>
          </w:p>
        </w:tc>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暂不作为主线</w:t>
            </w:r>
          </w:p>
        </w:tc>
      </w:tr>
    </w:tbl>
    <w:p>
      <w:pPr>
        <w:spacing w:after="80" w:line="276" w:lineRule="auto"/>
      </w:pPr>
      <w:r>
        <w:rPr>
          <w:rFonts w:ascii="Microsoft YaHei" w:hAnsi="Microsoft YaHei" w:eastAsia="Microsoft YaHei"/>
          <w:b w:val="0"/>
          <w:color w:val="1F2933"/>
          <w:sz w:val="21"/>
        </w:rPr>
      </w:r>
    </w:p>
    <w:tbl>
      <w:tblPr>
        <w:tblW w:type="auto" w:w="0"/>
        <w:jc w:val="center"/>
        <w:tblLook w:firstColumn="1" w:firstRow="1" w:lastColumn="0" w:lastRow="0" w:noHBand="0" w:noVBand="1" w:val="04A0"/>
      </w:tblPr>
      <w:tblGrid>
        <w:gridCol w:w="9858"/>
      </w:tblGrid>
      <w:tr>
        <w:tc>
          <w:tcPr>
            <w:tcW w:type="dxa" w:w="9858"/>
            <w:shd w:fill="EAF2F8"/>
            <w:tcBorders>
              <w:top w:val="single" w:sz="6" w:space="0" w:color="B8CCE4"/>
              <w:left w:val="single" w:sz="6" w:space="0" w:color="B8CCE4"/>
              <w:bottom w:val="single" w:sz="6" w:space="0" w:color="B8CCE4"/>
              <w:right w:val="single" w:sz="6" w:space="0" w:color="B8CCE4"/>
            </w:tcBorders>
            <w:tcMar>
              <w:top w:w="180" w:type="dxa"/>
              <w:start w:w="180" w:type="dxa"/>
              <w:bottom w:w="180" w:type="dxa"/>
              <w:end w:w="180" w:type="dxa"/>
            </w:tcMar>
          </w:tcPr>
          <w:p>
            <w:pPr>
              <w:spacing w:after="60"/>
            </w:pPr>
            <w:r>
              <w:rPr>
                <w:rFonts w:ascii="Microsoft YaHei" w:hAnsi="Microsoft YaHei" w:eastAsia="Microsoft YaHei"/>
                <w:b/>
                <w:color w:val="1F4E79"/>
                <w:sz w:val="21"/>
              </w:rPr>
              <w:t>核心计量模型</w:t>
            </w:r>
          </w:p>
          <w:p>
            <w:pPr>
              <w:spacing w:line="288" w:lineRule="auto" w:after="0"/>
            </w:pPr>
            <w:r>
              <w:rPr>
                <w:rFonts w:ascii="Microsoft YaHei" w:hAnsi="Microsoft YaHei" w:eastAsia="Microsoft YaHei"/>
                <w:color w:val="1F2933"/>
                <w:sz w:val="20"/>
              </w:rPr>
              <w:t>I_it = α + β1 E_it + β2 F_it + β3(E_it × F_it) + Controls_it + μ_i + λ_t + ε_it。若β3为正且显著，说明金融支持提升AI教育供给向AI产业发展的转化效率。</w:t>
            </w:r>
          </w:p>
        </w:tc>
      </w:tr>
    </w:tbl>
    <w:p>
      <w:pPr>
        <w:spacing w:after="4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当前风险</w:t>
            </w:r>
          </w:p>
        </w:tc>
        <w:tc>
          <w:tcPr>
            <w:tcW w:type="dxa" w:w="4762"/>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说明</w:t>
            </w:r>
          </w:p>
        </w:tc>
        <w:tc>
          <w:tcPr>
            <w:tcW w:type="dxa" w:w="226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讨论请求</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CCD公式</w:t>
            </w:r>
          </w:p>
        </w:tc>
        <w:tc>
          <w:tcPr>
            <w:tcW w:type="dxa" w:w="476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三维乘积公式可能存在量表压缩；两两耦合平均法更直观但需谨慎表述</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请导师判断使用哪种公式更稳妥</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负值和平移</w:t>
            </w:r>
          </w:p>
        </w:tc>
        <w:tc>
          <w:tcPr>
            <w:tcW w:type="dxa" w:w="476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现有D值对平移常数敏感</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是否改用0-1标准化避免负值</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熵值法</w:t>
            </w:r>
          </w:p>
        </w:tc>
        <w:tc>
          <w:tcPr>
            <w:tcW w:type="dxa" w:w="476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不能把偏离度加权写成熵值法</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是否基准熵值法、稳健性等权重</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黑盒因子</w:t>
            </w:r>
          </w:p>
        </w:tc>
        <w:tc>
          <w:tcPr>
            <w:tcW w:type="dxa" w:w="476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理论解释价值大，但缺少客观量化数据</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是否降级为政策讨论</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导师意见：模型与方法</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八、数据方案与可行性</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92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数据类型</w:t>
            </w:r>
          </w:p>
        </w:tc>
        <w:tc>
          <w:tcPr>
            <w:tcW w:type="dxa" w:w="226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可得性判断</w:t>
            </w:r>
          </w:p>
        </w:tc>
        <w:tc>
          <w:tcPr>
            <w:tcW w:type="dxa" w:w="4535"/>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处理方案</w:t>
            </w:r>
          </w:p>
        </w:tc>
      </w:tr>
      <w:tr>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统计年鉴/统计公报</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较高</w:t>
            </w:r>
          </w:p>
        </w:tc>
        <w:tc>
          <w:tcPr>
            <w:tcW w:type="dxa" w:w="453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用于GDP、产业结构、金融业增加值、技术合同等</w:t>
            </w:r>
          </w:p>
        </w:tc>
      </w:tr>
      <w:tr>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教育部专业备案/高校官网</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较高但需整理</w:t>
            </w:r>
          </w:p>
        </w:tc>
        <w:tc>
          <w:tcPr>
            <w:tcW w:type="dxa" w:w="453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用于AI专业数量、硕博点、产业学院</w:t>
            </w:r>
          </w:p>
        </w:tc>
      </w:tr>
      <w:tr>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CNKI/WoS/专利库</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可得但多需数据库导出</w:t>
            </w:r>
          </w:p>
        </w:tc>
        <w:tc>
          <w:tcPr>
            <w:tcW w:type="dxa" w:w="453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用于AI论文、高校专利、企业专利</w:t>
            </w:r>
          </w:p>
        </w:tc>
      </w:tr>
      <w:tr>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企查查/天眼查/IT桔子/清科</w:t>
            </w:r>
          </w:p>
        </w:tc>
        <w:tc>
          <w:tcPr>
            <w:tcW w:type="dxa" w:w="226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受限或需账号</w:t>
            </w:r>
          </w:p>
        </w:tc>
        <w:tc>
          <w:tcPr>
            <w:tcW w:type="dxa" w:w="4535"/>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用于AI企业、融资事件、VC/PE</w:t>
            </w:r>
          </w:p>
        </w:tc>
      </w:tr>
      <w:tr>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招聘平台</w:t>
            </w:r>
          </w:p>
        </w:tc>
        <w:tc>
          <w:tcPr>
            <w:tcW w:type="dxa" w:w="226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可得但偏差较大</w:t>
            </w:r>
          </w:p>
        </w:tc>
        <w:tc>
          <w:tcPr>
            <w:tcW w:type="dxa" w:w="4535"/>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用于AI岗位数量，建议作为增强变量</w:t>
            </w:r>
          </w:p>
        </w:tc>
      </w:tr>
    </w:tbl>
    <w:p>
      <w:pPr>
        <w:spacing w:after="80" w:line="276" w:lineRule="auto"/>
      </w:pPr>
      <w:r>
        <w:rPr>
          <w:rFonts w:ascii="Microsoft YaHei" w:hAnsi="Microsoft YaHei" w:eastAsia="Microsoft YaHei"/>
          <w:b w:val="0"/>
          <w:color w:val="1F2933"/>
          <w:sz w:val="21"/>
        </w:rPr>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导师是否认可五省市样本：福建、广东、浙江、江苏、上海</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导师是否要求扩展到十省样本：增加北京、安徽、山东、湖北、四川</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AI产业增加值拿不到时，是否可用AI企业数量、企业专利、岗位数量替代</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AI融资金额拿不到时，是否可用AI融资事件数替代</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第三产业AI应用强度是否作为增强变量而非主变量</w:t>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导师意见：数据来源与样本范围</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九、预期创新与可能贡献</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贡献类型</w:t>
            </w:r>
          </w:p>
        </w:tc>
        <w:tc>
          <w:tcPr>
            <w:tcW w:type="dxa" w:w="5102"/>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当前表述</w:t>
            </w:r>
          </w:p>
        </w:tc>
        <w:tc>
          <w:tcPr>
            <w:tcW w:type="dxa" w:w="1928"/>
            <w:shd w:fill="1F4E79"/>
            <w:tcBorders>
              <w:top w:val="single" w:sz="6" w:space="0" w:color="1F4E79"/>
              <w:left w:val="single" w:sz="6" w:space="0" w:color="1F4E79"/>
              <w:bottom w:val="single" w:sz="6" w:space="0" w:color="1F4E79"/>
              <w:right w:val="single" w:sz="6" w:space="0" w:color="1F4E79"/>
            </w:tcBorders>
            <w:tcMar>
              <w:top w:w="120" w:type="dxa"/>
              <w:start w:w="120" w:type="dxa"/>
              <w:bottom w:w="120" w:type="dxa"/>
              <w:end w:w="120" w:type="dxa"/>
            </w:tcMar>
            <w:vAlign w:val="center"/>
          </w:tcPr>
          <w:p>
            <w:pPr>
              <w:spacing w:after="0"/>
              <w:jc w:val="center"/>
            </w:pPr>
            <w:r>
              <w:rPr>
                <w:rFonts w:ascii="Microsoft YaHei" w:hAnsi="Microsoft YaHei" w:eastAsia="Microsoft YaHei"/>
                <w:b/>
                <w:color w:val="FFFFFF"/>
                <w:sz w:val="19"/>
              </w:rPr>
              <w:t>强弱判断</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研究对象</w:t>
            </w:r>
          </w:p>
        </w:tc>
        <w:tc>
          <w:tcPr>
            <w:tcW w:type="dxa" w:w="51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将教育-产业耦合研究推进到AI这一战略性新兴技术领域</w:t>
            </w:r>
          </w:p>
        </w:tc>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较强</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理论框架</w:t>
            </w:r>
          </w:p>
        </w:tc>
        <w:tc>
          <w:tcPr>
            <w:tcW w:type="dxa" w:w="510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提出金融支持参与AI教育成果产业化的转化器机制</w:t>
            </w:r>
          </w:p>
        </w:tc>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较强</w:t>
            </w:r>
          </w:p>
        </w:tc>
      </w:tr>
      <w:tr>
        <w:tc>
          <w:tcPr>
            <w:tcW w:type="dxa" w:w="1701"/>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方法组合</w:t>
            </w:r>
          </w:p>
        </w:tc>
        <w:tc>
          <w:tcPr>
            <w:tcW w:type="dxa" w:w="5102"/>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区分描述性测度与机制检验，避免只测D值</w:t>
            </w:r>
          </w:p>
        </w:tc>
        <w:tc>
          <w:tcPr>
            <w:tcW w:type="dxa" w:w="1928"/>
            <w:shd w:fill="FFFFFF"/>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中等偏强</w:t>
            </w:r>
          </w:p>
        </w:tc>
      </w:tr>
      <w:tr>
        <w:tc>
          <w:tcPr>
            <w:tcW w:type="dxa" w:w="1701"/>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政策价值</w:t>
            </w:r>
          </w:p>
        </w:tc>
        <w:tc>
          <w:tcPr>
            <w:tcW w:type="dxa" w:w="5102"/>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left"/>
            </w:pPr>
            <w:r>
              <w:rPr>
                <w:rFonts w:ascii="Microsoft YaHei" w:hAnsi="Microsoft YaHei" w:eastAsia="Microsoft YaHei"/>
                <w:color w:val="1F2933"/>
                <w:sz w:val="18"/>
              </w:rPr>
              <w:t>为福建省科技金融、AI产教融合和成果转化政策提供依据</w:t>
            </w:r>
          </w:p>
        </w:tc>
        <w:tc>
          <w:tcPr>
            <w:tcW w:type="dxa" w:w="1928"/>
            <w:shd w:fill="F5F7FA"/>
            <w:tcBorders>
              <w:top w:val="single" w:sz="6" w:space="0" w:color="D0D5DD"/>
              <w:left w:val="single" w:sz="6" w:space="0" w:color="D0D5DD"/>
              <w:bottom w:val="single" w:sz="6" w:space="0" w:color="D0D5DD"/>
              <w:right w:val="single" w:sz="6" w:space="0" w:color="D0D5DD"/>
            </w:tcBorders>
            <w:tcMar>
              <w:top w:w="110" w:type="dxa"/>
              <w:start w:w="110" w:type="dxa"/>
              <w:bottom w:w="110" w:type="dxa"/>
              <w:end w:w="110" w:type="dxa"/>
            </w:tcMar>
            <w:vAlign w:val="center"/>
          </w:tcPr>
          <w:p>
            <w:pPr>
              <w:spacing w:after="0"/>
              <w:jc w:val="center"/>
            </w:pPr>
            <w:r>
              <w:rPr>
                <w:rFonts w:ascii="Microsoft YaHei" w:hAnsi="Microsoft YaHei" w:eastAsia="Microsoft YaHei"/>
                <w:color w:val="1F2933"/>
                <w:sz w:val="18"/>
              </w:rPr>
              <w:t>较强</w:t>
            </w:r>
          </w:p>
        </w:tc>
      </w:tr>
    </w:tbl>
    <w:p>
      <w:pPr>
        <w:spacing w:after="80" w:line="276" w:lineRule="auto"/>
      </w:pPr>
      <w:r>
        <w:rPr>
          <w:rFonts w:ascii="Microsoft YaHei" w:hAnsi="Microsoft YaHei" w:eastAsia="Microsoft YaHei"/>
          <w:b w:val="0"/>
          <w:color w:val="1F2933"/>
          <w:sz w:val="21"/>
        </w:rPr>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导师意见：创新点是否过强 / 是否需收敛</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p>
      <w:pPr>
        <w:pStyle w:val="Heading1"/>
        <w:spacing w:before="160" w:after="120"/>
      </w:pPr>
      <w:r>
        <w:rPr>
          <w:rFonts w:ascii="Microsoft YaHei" w:hAnsi="Microsoft YaHei" w:eastAsia="Microsoft YaHei"/>
          <w:b/>
          <w:color w:val="1F4E79"/>
          <w:sz w:val="30"/>
        </w:rPr>
        <w:t>十、明日重点请导师确认的问题</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题目是否采用“金融支持、AI教育供给与人工智能产业发展的转化机制研究”</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论文主线是否从“三系统耦合协调”调整为“金融支持调节教育向产业转化”</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AI指标是否采用保守、核心、扩展三类口径</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第三产业AI应用强度是否只作为拓展机制变量</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CCD公式采用三维乘积公式还是两两耦合平均扩展公式</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样本选择采用五省市还是十省面板</w:t>
      </w:r>
    </w:p>
    <w:p>
      <w:pPr>
        <w:spacing w:after="60"/>
        <w:ind w:left="113"/>
      </w:pPr>
      <w:r>
        <w:rPr>
          <w:rFonts w:ascii="Microsoft YaHei" w:hAnsi="Microsoft YaHei" w:eastAsia="Microsoft YaHei"/>
          <w:color w:val="1F4E79"/>
          <w:sz w:val="21"/>
        </w:rPr>
        <w:t xml:space="preserve">☐ </w:t>
      </w:r>
      <w:r>
        <w:rPr>
          <w:rFonts w:ascii="Microsoft YaHei" w:hAnsi="Microsoft YaHei" w:eastAsia="Microsoft YaHei"/>
          <w:color w:val="1F2933"/>
          <w:sz w:val="20"/>
        </w:rPr>
        <w:t>受限数据库数据是否可以用公开替代变量先行</w:t>
      </w:r>
    </w:p>
    <w:tbl>
      <w:tblPr>
        <w:tblW w:type="auto" w:w="0"/>
        <w:jc w:val="center"/>
        <w:tblLayout w:type="autofit"/>
        <w:tblLook w:firstColumn="1" w:firstRow="1" w:lastColumn="0" w:lastRow="0" w:noHBand="0" w:noVBand="1" w:val="04A0"/>
      </w:tblPr>
      <w:tblGrid>
        <w:gridCol w:w="9858"/>
      </w:tblGrid>
      <w:tr>
        <w:tc>
          <w:tcPr>
            <w:tcW w:type="dxa" w:w="9858"/>
            <w:shd w:fill="FFF8E5"/>
            <w:tcBorders>
              <w:top w:val="single" w:sz="6" w:space="0" w:color="E4C774"/>
              <w:left w:val="single" w:sz="6" w:space="0" w:color="E4C774"/>
              <w:bottom w:val="single" w:sz="6" w:space="0" w:color="E4C774"/>
              <w:right w:val="single" w:sz="6" w:space="0" w:color="E4C774"/>
            </w:tcBorders>
            <w:tcMar>
              <w:top w:w="130" w:type="dxa"/>
              <w:start w:w="160" w:type="dxa"/>
              <w:bottom w:w="130" w:type="dxa"/>
              <w:end w:w="160" w:type="dxa"/>
            </w:tcMar>
            <w:vAlign w:val="center"/>
          </w:tcPr>
          <w:p>
            <w:pPr>
              <w:spacing w:after="0"/>
            </w:pPr>
            <w:r>
              <w:rPr>
                <w:rFonts w:ascii="Microsoft YaHei" w:hAnsi="Microsoft YaHei" w:eastAsia="Microsoft YaHei"/>
                <w:b/>
                <w:color w:val="7A4F01"/>
                <w:sz w:val="21"/>
              </w:rPr>
              <w:t>会议记录：导师最终建议与下一步任务</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r>
        <w:tc>
          <w:tcPr>
            <w:tcW w:type="dxa" w:w="9858"/>
            <w:tcBorders>
              <w:top w:val="single" w:sz="6" w:space="0" w:color="E7EAF0"/>
              <w:left w:val="single" w:sz="6" w:space="0" w:color="E7EAF0"/>
              <w:bottom w:val="single" w:sz="6" w:space="0" w:color="E7EAF0"/>
              <w:right w:val="single" w:sz="6" w:space="0" w:color="E7EAF0"/>
            </w:tcBorders>
            <w:tcMar>
              <w:top w:w="160" w:type="dxa"/>
              <w:start w:w="160" w:type="dxa"/>
              <w:bottom w:w="160" w:type="dxa"/>
              <w:end w:w="160" w:type="dxa"/>
            </w:tcMar>
            <w:vAlign w:val="center"/>
          </w:tcPr>
          <w:p>
            <w:pPr>
              <w:spacing w:after="0"/>
            </w:pPr>
            <w:r>
              <w:rPr>
                <w:rFonts w:ascii="Microsoft YaHei" w:hAnsi="Microsoft YaHei" w:eastAsia="Microsoft YaHei"/>
                <w:color w:val="1F2933"/>
                <w:sz w:val="22"/>
              </w:rPr>
              <w:t xml:space="preserve">  </w:t>
            </w:r>
          </w:p>
        </w:tc>
      </w:tr>
    </w:tbl>
    <w:p>
      <w:pPr>
        <w:spacing w:after="80" w:line="276" w:lineRule="auto"/>
      </w:pPr>
      <w:r>
        <w:rPr>
          <w:rFonts w:ascii="Microsoft YaHei" w:hAnsi="Microsoft YaHei" w:eastAsia="Microsoft YaHei"/>
          <w:b w:val="0"/>
          <w:color w:val="1F2933"/>
          <w:sz w:val="21"/>
        </w:rPr>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7085"/>
        <w:sz w:val="17"/>
      </w:rPr>
      <w:t>硕士论文导师讨论稿｜仅供讨论使用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