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微软雅黑" w:hAnsi="微软雅黑" w:eastAsia="微软雅黑"/>
          <w:b/>
          <w:color w:val="1F4E79"/>
          <w:sz w:val="44"/>
        </w:rPr>
        <w:t>简易论文框架：图示版</w:t>
      </w:r>
    </w:p>
    <w:p>
      <w:r>
        <w:drawing>
          <wp:inline xmlns:a="http://schemas.openxmlformats.org/drawingml/2006/main" xmlns:pic="http://schemas.openxmlformats.org/drawingml/2006/picture">
            <wp:extent cx="9738360" cy="53019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301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/>
        <w:jc w:val="left"/>
      </w:pPr>
      <w:r>
        <w:rPr>
          <w:rFonts w:ascii="微软雅黑" w:hAnsi="微软雅黑" w:eastAsia="微软雅黑"/>
          <w:b/>
          <w:color w:val="1F4E79"/>
          <w:sz w:val="44"/>
        </w:rPr>
        <w:t>一、核心机制：金融支持作为转化器</w:t>
      </w:r>
    </w:p>
    <w:p>
      <w:r>
        <w:drawing>
          <wp:inline xmlns:a="http://schemas.openxmlformats.org/drawingml/2006/main" xmlns:pic="http://schemas.openxmlformats.org/drawingml/2006/picture">
            <wp:extent cx="9738360" cy="53019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echanis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301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/>
        <w:jc w:val="left"/>
      </w:pPr>
      <w:r>
        <w:rPr>
          <w:rFonts w:ascii="微软雅黑" w:hAnsi="微软雅黑" w:eastAsia="微软雅黑"/>
          <w:b/>
          <w:color w:val="1F4E79"/>
          <w:sz w:val="44"/>
        </w:rPr>
        <w:t>二、指标体系：三系统与功能链条</w:t>
      </w:r>
    </w:p>
    <w:p>
      <w:r>
        <w:drawing>
          <wp:inline xmlns:a="http://schemas.openxmlformats.org/drawingml/2006/main" xmlns:pic="http://schemas.openxmlformats.org/drawingml/2006/picture">
            <wp:extent cx="9738360" cy="53019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ndicat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301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/>
        <w:jc w:val="left"/>
      </w:pPr>
      <w:r>
        <w:rPr>
          <w:rFonts w:ascii="微软雅黑" w:hAnsi="微软雅黑" w:eastAsia="微软雅黑"/>
          <w:b/>
          <w:color w:val="1F4E79"/>
          <w:sz w:val="44"/>
        </w:rPr>
        <w:t>三、研究方法：描述测度与机制检验分工</w:t>
      </w:r>
    </w:p>
    <w:p>
      <w:r>
        <w:drawing>
          <wp:inline xmlns:a="http://schemas.openxmlformats.org/drawingml/2006/main" xmlns:pic="http://schemas.openxmlformats.org/drawingml/2006/picture">
            <wp:extent cx="9738360" cy="53019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etho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301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/>
        <w:jc w:val="left"/>
      </w:pPr>
      <w:r>
        <w:rPr>
          <w:rFonts w:ascii="微软雅黑" w:hAnsi="微软雅黑" w:eastAsia="微软雅黑"/>
          <w:b/>
          <w:color w:val="1F4E79"/>
          <w:sz w:val="44"/>
        </w:rPr>
        <w:t>四、章节安排与明日确认清单</w:t>
      </w:r>
    </w:p>
    <w:p>
      <w:r>
        <w:drawing>
          <wp:inline xmlns:a="http://schemas.openxmlformats.org/drawingml/2006/main" xmlns:pic="http://schemas.openxmlformats.org/drawingml/2006/picture">
            <wp:extent cx="9738360" cy="53019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hapt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30199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4"/>
      <w:pgSz w:w="16834" w:h="11909" w:orient="landscape"/>
      <w:pgMar w:top="595" w:right="595" w:bottom="595" w:left="5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6B7280"/>
        <w:sz w:val="18"/>
      </w:rPr>
      <w:t>硕士论文简易框架图示版 | 仅供导师讨论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