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1F4E79"/>
          <w:sz w:val="40"/>
        </w:rPr>
        <w:t>CCD、障碍度与机制检验的逻辑关系说明</w:t>
      </w:r>
    </w:p>
    <w:p>
      <w:pPr>
        <w:jc w:val="center"/>
      </w:pPr>
      <w:r>
        <w:rPr>
          <w:rFonts w:ascii="微软雅黑" w:hAnsi="微软雅黑" w:eastAsia="微软雅黑"/>
          <w:b w:val="0"/>
          <w:color w:val="6B7280"/>
          <w:sz w:val="21"/>
        </w:rPr>
        <w:t>基于论文方法链条的讨论备忘 | 2026年5月15日</w:t>
      </w:r>
    </w:p>
    <w:tbl>
      <w:tblPr>
        <w:tblW w:type="auto" w:w="0"/>
        <w:tblLayout w:type="autofit"/>
        <w:tblLook w:firstColumn="1" w:firstRow="1" w:lastColumn="0" w:lastRow="0" w:noHBand="0" w:noVBand="1" w:val="04A0"/>
      </w:tblPr>
      <w:tblGrid>
        <w:gridCol w:w="10086"/>
      </w:tblGrid>
      <w:tr>
        <w:tc>
          <w:tcPr>
            <w:tcW w:type="dxa" w:w="10086"/>
            <w:shd w:fill="FFF7DF"/>
            <w:tcBorders>
              <w:top w:val="single" w:sz="10" w:color="D9A441"/>
              <w:left w:val="single" w:sz="10" w:color="D9A441"/>
              <w:bottom w:val="single" w:sz="10" w:color="D9A441"/>
              <w:right w:val="single" w:sz="10" w:color="D9A441"/>
            </w:tcBorders>
          </w:tcPr>
          <w:p>
            <w:pPr>
              <w:spacing w:after="60"/>
            </w:pPr>
            <w:r>
              <w:rPr>
                <w:rFonts w:ascii="微软雅黑" w:hAnsi="微软雅黑" w:eastAsia="微软雅黑"/>
                <w:b/>
                <w:color w:val="1F4E79"/>
                <w:sz w:val="24"/>
              </w:rPr>
              <w:t>核心结论</w:t>
            </w:r>
          </w:p>
          <w:p>
            <w:pPr>
              <w:spacing w:after="20"/>
            </w:pPr>
            <w:r>
              <w:rPr>
                <w:rFonts w:ascii="微软雅黑" w:hAnsi="微软雅黑" w:eastAsia="微软雅黑"/>
                <w:b w:val="0"/>
                <w:color w:val="1F2933"/>
                <w:sz w:val="21"/>
              </w:rPr>
              <w:t>这些方法可以放在同一篇论文里，但不能都写成“检验”。</w:t>
            </w:r>
          </w:p>
          <w:p>
            <w:pPr>
              <w:spacing w:after="20"/>
            </w:pPr>
            <w:r>
              <w:rPr>
                <w:rFonts w:ascii="微软雅黑" w:hAnsi="微软雅黑" w:eastAsia="微软雅黑"/>
                <w:b w:val="0"/>
                <w:color w:val="1F2933"/>
                <w:sz w:val="21"/>
              </w:rPr>
              <w:t>最稳的定位是：CCD = 描述性测度；障碍度 = 短板诊断；固定效应 = 经验关联检验；调节效应 = 机制检验；口径检验 = 稳健性检验。</w:t>
            </w:r>
          </w:p>
        </w:tc>
      </w:tr>
    </w:tbl>
    <w:p>
      <w:pPr>
        <w:spacing w:before="200" w:after="100"/>
      </w:pPr>
      <w:r>
        <w:rPr>
          <w:rFonts w:ascii="微软雅黑" w:hAnsi="微软雅黑" w:eastAsia="微软雅黑"/>
          <w:b/>
          <w:color w:val="1F4E79"/>
          <w:sz w:val="36"/>
        </w:rPr>
        <w:t>一、完整逻辑链</w:t>
      </w:r>
    </w:p>
    <w:tbl>
      <w:tblPr>
        <w:tblW w:type="auto" w:w="0"/>
        <w:tblLook w:firstColumn="1" w:firstRow="1" w:lastColumn="0" w:lastRow="0" w:noHBand="0" w:noVBand="1" w:val="04A0"/>
      </w:tblPr>
      <w:tblGrid>
        <w:gridCol w:w="2521"/>
        <w:gridCol w:w="2521"/>
        <w:gridCol w:w="2521"/>
        <w:gridCol w:w="2521"/>
      </w:tblGrid>
      <w:tr>
        <w:tc>
          <w:tcPr>
            <w:tcW w:type="dxa" w:w="567"/>
            <w:shd w:fill="1F4E79"/>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FFFFFF"/>
                <w:sz w:val="21"/>
              </w:rPr>
              <w:t>步骤</w:t>
            </w:r>
          </w:p>
        </w:tc>
        <w:tc>
          <w:tcPr>
            <w:tcW w:type="dxa" w:w="1701"/>
            <w:shd w:fill="1F4E79"/>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FFFFFF"/>
                <w:sz w:val="21"/>
              </w:rPr>
              <w:t>方法</w:t>
            </w:r>
          </w:p>
        </w:tc>
        <w:tc>
          <w:tcPr>
            <w:tcW w:type="dxa" w:w="5102"/>
            <w:shd w:fill="1F4E79"/>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FFFFFF"/>
                <w:sz w:val="21"/>
              </w:rPr>
              <w:t>回答的问题</w:t>
            </w:r>
          </w:p>
        </w:tc>
        <w:tc>
          <w:tcPr>
            <w:tcW w:type="dxa" w:w="1701"/>
            <w:shd w:fill="1F4E79"/>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FFFFFF"/>
                <w:sz w:val="21"/>
              </w:rPr>
              <w:t>定位</w:t>
            </w:r>
          </w:p>
        </w:tc>
      </w:tr>
      <w:tr>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4E79"/>
                <w:sz w:val="21"/>
              </w:rPr>
              <w:t>1</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2933"/>
                <w:sz w:val="21"/>
              </w:rPr>
              <w:t>AI口径界定</w:t>
            </w:r>
          </w:p>
        </w:tc>
        <w:tc>
          <w:tcPr>
            <w:tcW w:type="dxa" w:w="2521"/>
            <w:tcBorders>
              <w:top w:val="single" w:sz="8" w:color="D6DEE8"/>
              <w:left w:val="single" w:sz="8" w:color="D6DEE8"/>
              <w:bottom w:val="single" w:sz="8" w:color="D6DEE8"/>
              <w:right w:val="single" w:sz="8" w:color="D6DEE8"/>
            </w:tcBorders>
            <w:vAlign w:val="center"/>
          </w:tcPr>
          <w:p>
            <w:pPr>
              <w:jc w:val="left"/>
            </w:pPr>
            <w:r/>
            <w:r>
              <w:rPr>
                <w:rFonts w:ascii="微软雅黑" w:hAnsi="微软雅黑" w:eastAsia="微软雅黑"/>
                <w:b w:val="0"/>
                <w:color w:val="1F2933"/>
                <w:sz w:val="21"/>
              </w:rPr>
              <w:t>确定什么算AI教育、AI产业和AI金融支持</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4E79"/>
                <w:sz w:val="21"/>
              </w:rPr>
              <w:t>测度前提</w:t>
            </w:r>
          </w:p>
        </w:tc>
      </w:tr>
      <w:tr>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4E79"/>
                <w:sz w:val="21"/>
              </w:rPr>
              <w:t>2</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2933"/>
                <w:sz w:val="21"/>
              </w:rPr>
              <w:t>子系统指数</w:t>
            </w:r>
          </w:p>
        </w:tc>
        <w:tc>
          <w:tcPr>
            <w:tcW w:type="dxa" w:w="2521"/>
            <w:tcBorders>
              <w:top w:val="single" w:sz="8" w:color="D6DEE8"/>
              <w:left w:val="single" w:sz="8" w:color="D6DEE8"/>
              <w:bottom w:val="single" w:sz="8" w:color="D6DEE8"/>
              <w:right w:val="single" w:sz="8" w:color="D6DEE8"/>
            </w:tcBorders>
            <w:vAlign w:val="center"/>
          </w:tcPr>
          <w:p>
            <w:pPr>
              <w:jc w:val="left"/>
            </w:pPr>
            <w:r/>
            <w:r>
              <w:rPr>
                <w:rFonts w:ascii="微软雅黑" w:hAnsi="微软雅黑" w:eastAsia="微软雅黑"/>
                <w:b w:val="0"/>
                <w:color w:val="1F2933"/>
                <w:sz w:val="21"/>
              </w:rPr>
              <w:t>分别计算 E（教育）、F（金融）、I（产业）发展水平</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4E79"/>
                <w:sz w:val="21"/>
              </w:rPr>
              <w:t>基础变量</w:t>
            </w:r>
          </w:p>
        </w:tc>
      </w:tr>
      <w:tr>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4E79"/>
                <w:sz w:val="21"/>
              </w:rPr>
              <w:t>3</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2933"/>
                <w:sz w:val="21"/>
              </w:rPr>
              <w:t>CCD</w:t>
            </w:r>
          </w:p>
        </w:tc>
        <w:tc>
          <w:tcPr>
            <w:tcW w:type="dxa" w:w="2521"/>
            <w:tcBorders>
              <w:top w:val="single" w:sz="8" w:color="D6DEE8"/>
              <w:left w:val="single" w:sz="8" w:color="D6DEE8"/>
              <w:bottom w:val="single" w:sz="8" w:color="D6DEE8"/>
              <w:right w:val="single" w:sz="8" w:color="D6DEE8"/>
            </w:tcBorders>
            <w:vAlign w:val="center"/>
          </w:tcPr>
          <w:p>
            <w:pPr>
              <w:jc w:val="left"/>
            </w:pPr>
            <w:r/>
            <w:r>
              <w:rPr>
                <w:rFonts w:ascii="微软雅黑" w:hAnsi="微软雅黑" w:eastAsia="微软雅黑"/>
                <w:b w:val="0"/>
                <w:color w:val="1F2933"/>
                <w:sz w:val="21"/>
              </w:rPr>
              <w:t>回答三系统整体协调水平如何、是否存在协调不足</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4E79"/>
                <w:sz w:val="21"/>
              </w:rPr>
              <w:t>描述性测度</w:t>
            </w:r>
          </w:p>
        </w:tc>
      </w:tr>
      <w:tr>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4E79"/>
                <w:sz w:val="21"/>
              </w:rPr>
              <w:t>4</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2933"/>
                <w:sz w:val="21"/>
              </w:rPr>
              <w:t>障碍度</w:t>
            </w:r>
          </w:p>
        </w:tc>
        <w:tc>
          <w:tcPr>
            <w:tcW w:type="dxa" w:w="2521"/>
            <w:tcBorders>
              <w:top w:val="single" w:sz="8" w:color="D6DEE8"/>
              <w:left w:val="single" w:sz="8" w:color="D6DEE8"/>
              <w:bottom w:val="single" w:sz="8" w:color="D6DEE8"/>
              <w:right w:val="single" w:sz="8" w:color="D6DEE8"/>
            </w:tcBorders>
            <w:vAlign w:val="center"/>
          </w:tcPr>
          <w:p>
            <w:pPr>
              <w:jc w:val="left"/>
            </w:pPr>
            <w:r/>
            <w:r>
              <w:rPr>
                <w:rFonts w:ascii="微软雅黑" w:hAnsi="微软雅黑" w:eastAsia="微软雅黑"/>
                <w:b w:val="0"/>
                <w:color w:val="1F2933"/>
                <w:sz w:val="21"/>
              </w:rPr>
              <w:t>在指标层面排序：哪些指标或子系统拖累综合发展水平</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4E79"/>
                <w:sz w:val="21"/>
              </w:rPr>
              <w:t>短板诊断</w:t>
            </w:r>
          </w:p>
        </w:tc>
      </w:tr>
      <w:tr>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4E79"/>
                <w:sz w:val="21"/>
              </w:rPr>
              <w:t>5</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2933"/>
                <w:sz w:val="21"/>
              </w:rPr>
              <w:t>固定效应</w:t>
            </w:r>
          </w:p>
        </w:tc>
        <w:tc>
          <w:tcPr>
            <w:tcW w:type="dxa" w:w="2521"/>
            <w:tcBorders>
              <w:top w:val="single" w:sz="8" w:color="D6DEE8"/>
              <w:left w:val="single" w:sz="8" w:color="D6DEE8"/>
              <w:bottom w:val="single" w:sz="8" w:color="D6DEE8"/>
              <w:right w:val="single" w:sz="8" w:color="D6DEE8"/>
            </w:tcBorders>
            <w:vAlign w:val="center"/>
          </w:tcPr>
          <w:p>
            <w:pPr>
              <w:jc w:val="left"/>
            </w:pPr>
            <w:r/>
            <w:r>
              <w:rPr>
                <w:rFonts w:ascii="微软雅黑" w:hAnsi="微软雅黑" w:eastAsia="微软雅黑"/>
                <w:b w:val="0"/>
                <w:color w:val="1F2933"/>
                <w:sz w:val="21"/>
              </w:rPr>
              <w:t>检验 E、F 是否与 I 的变化存在经验关联</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4E79"/>
                <w:sz w:val="21"/>
              </w:rPr>
              <w:t>关联检验</w:t>
            </w:r>
          </w:p>
        </w:tc>
      </w:tr>
      <w:tr>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4E79"/>
                <w:sz w:val="21"/>
              </w:rPr>
              <w:t>6</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2933"/>
                <w:sz w:val="21"/>
              </w:rPr>
              <w:t>调节效应</w:t>
            </w:r>
          </w:p>
        </w:tc>
        <w:tc>
          <w:tcPr>
            <w:tcW w:type="dxa" w:w="2521"/>
            <w:tcBorders>
              <w:top w:val="single" w:sz="8" w:color="D6DEE8"/>
              <w:left w:val="single" w:sz="8" w:color="D6DEE8"/>
              <w:bottom w:val="single" w:sz="8" w:color="D6DEE8"/>
              <w:right w:val="single" w:sz="8" w:color="D6DEE8"/>
            </w:tcBorders>
            <w:vAlign w:val="center"/>
          </w:tcPr>
          <w:p>
            <w:pPr>
              <w:jc w:val="left"/>
            </w:pPr>
            <w:r/>
            <w:r>
              <w:rPr>
                <w:rFonts w:ascii="微软雅黑" w:hAnsi="微软雅黑" w:eastAsia="微软雅黑"/>
                <w:b w:val="0"/>
                <w:color w:val="1F2933"/>
                <w:sz w:val="21"/>
              </w:rPr>
              <w:t>检验 F 是否强化 E -&gt; I 的转化关系，核心关注 E × F</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2E7D60"/>
                <w:sz w:val="21"/>
              </w:rPr>
              <w:t>机制检验</w:t>
            </w:r>
          </w:p>
        </w:tc>
      </w:tr>
      <w:tr>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4E79"/>
                <w:sz w:val="21"/>
              </w:rPr>
              <w:t>7</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2933"/>
                <w:sz w:val="21"/>
              </w:rPr>
              <w:t>口径检验</w:t>
            </w:r>
          </w:p>
        </w:tc>
        <w:tc>
          <w:tcPr>
            <w:tcW w:type="dxa" w:w="2521"/>
            <w:tcBorders>
              <w:top w:val="single" w:sz="8" w:color="D6DEE8"/>
              <w:left w:val="single" w:sz="8" w:color="D6DEE8"/>
              <w:bottom w:val="single" w:sz="8" w:color="D6DEE8"/>
              <w:right w:val="single" w:sz="8" w:color="D6DEE8"/>
            </w:tcBorders>
            <w:vAlign w:val="center"/>
          </w:tcPr>
          <w:p>
            <w:pPr>
              <w:jc w:val="left"/>
            </w:pPr>
            <w:r/>
            <w:r>
              <w:rPr>
                <w:rFonts w:ascii="微软雅黑" w:hAnsi="微软雅黑" w:eastAsia="微软雅黑"/>
                <w:b w:val="0"/>
                <w:color w:val="1F2933"/>
                <w:sz w:val="21"/>
              </w:rPr>
              <w:t>更换保守、核心、扩展AI口径，看结论是否稳定</w:t>
            </w:r>
          </w:p>
        </w:tc>
        <w:tc>
          <w:tcPr>
            <w:tcW w:type="dxa" w:w="2521"/>
            <w:tcBorders>
              <w:top w:val="single" w:sz="8" w:color="D6DEE8"/>
              <w:left w:val="single" w:sz="8" w:color="D6DEE8"/>
              <w:bottom w:val="single" w:sz="8" w:color="D6DEE8"/>
              <w:right w:val="single" w:sz="8" w:color="D6DEE8"/>
            </w:tcBorders>
            <w:vAlign w:val="center"/>
          </w:tcPr>
          <w:p>
            <w:pPr>
              <w:jc w:val="center"/>
            </w:pPr>
            <w:r/>
            <w:r>
              <w:rPr>
                <w:rFonts w:ascii="微软雅黑" w:hAnsi="微软雅黑" w:eastAsia="微软雅黑"/>
                <w:b/>
                <w:color w:val="1F4E79"/>
                <w:sz w:val="21"/>
              </w:rPr>
              <w:t>稳健性检验</w:t>
            </w:r>
          </w:p>
        </w:tc>
      </w:tr>
    </w:tbl>
    <w:p>
      <w:pPr>
        <w:spacing w:before="200" w:after="100"/>
      </w:pPr>
      <w:r>
        <w:rPr>
          <w:rFonts w:ascii="微软雅黑" w:hAnsi="微软雅黑" w:eastAsia="微软雅黑"/>
          <w:b/>
          <w:color w:val="1F4E79"/>
          <w:sz w:val="36"/>
        </w:rPr>
        <w:t>二、CCD与障碍度是否存在逻辑断裂？</w:t>
      </w:r>
    </w:p>
    <w:p>
      <w:pPr>
        <w:spacing w:after="80" w:line="283" w:lineRule="auto"/>
      </w:pPr>
      <w:r>
        <w:rPr>
          <w:rFonts w:ascii="微软雅黑" w:hAnsi="微软雅黑" w:eastAsia="微软雅黑"/>
          <w:b w:val="0"/>
          <w:color w:val="1F2933"/>
          <w:sz w:val="22"/>
        </w:rPr>
        <w:t>严格说，CCD和障碍度不是同一个问题的因果链条。CCD回答“协调水平如何”，障碍度回答“在既定指标体系下，哪些指标或子系统相对拖累更明显”。</w:t>
      </w:r>
    </w:p>
    <w:p>
      <w:pPr>
        <w:spacing w:after="80" w:line="283" w:lineRule="auto"/>
      </w:pPr>
      <w:r>
        <w:rPr>
          <w:rFonts w:ascii="微软雅黑" w:hAnsi="微软雅黑" w:eastAsia="微软雅黑"/>
          <w:b w:val="0"/>
          <w:color w:val="1F2933"/>
          <w:sz w:val="22"/>
        </w:rPr>
        <w:t>因此，障碍度不能被表述为“证明存在短板”的方法。因为无论CCD高低，障碍度都能算出排序。它真正的价值是排序、诊断和政策优先级判断。</w:t>
      </w:r>
    </w:p>
    <w:tbl>
      <w:tblPr>
        <w:tblW w:type="auto" w:w="0"/>
        <w:tblLayout w:type="autofit"/>
        <w:tblLook w:firstColumn="1" w:firstRow="1" w:lastColumn="0" w:lastRow="0" w:noHBand="0" w:noVBand="1" w:val="04A0"/>
      </w:tblPr>
      <w:tblGrid>
        <w:gridCol w:w="10086"/>
      </w:tblGrid>
      <w:tr>
        <w:tc>
          <w:tcPr>
            <w:tcW w:type="dxa" w:w="10086"/>
            <w:shd w:fill="EAF3FB"/>
            <w:tcBorders>
              <w:top w:val="single" w:sz="10" w:color="1F4E79"/>
              <w:left w:val="single" w:sz="10" w:color="1F4E79"/>
              <w:bottom w:val="single" w:sz="10" w:color="1F4E79"/>
              <w:right w:val="single" w:sz="10" w:color="1F4E79"/>
            </w:tcBorders>
          </w:tcPr>
          <w:p>
            <w:pPr>
              <w:spacing w:after="60"/>
            </w:pPr>
            <w:r>
              <w:rPr>
                <w:rFonts w:ascii="微软雅黑" w:hAnsi="微软雅黑" w:eastAsia="微软雅黑"/>
                <w:b/>
                <w:color w:val="1F4E79"/>
                <w:sz w:val="24"/>
              </w:rPr>
              <w:t>推荐写法</w:t>
            </w:r>
          </w:p>
          <w:p>
            <w:pPr>
              <w:spacing w:after="20"/>
            </w:pPr>
            <w:r>
              <w:rPr>
                <w:rFonts w:ascii="微软雅黑" w:hAnsi="微软雅黑" w:eastAsia="微软雅黑"/>
                <w:b w:val="0"/>
                <w:color w:val="1F2933"/>
                <w:sz w:val="21"/>
              </w:rPr>
              <w:t>CCD用于识别金融、教育、产业三系统的协调水平及其变化；障碍度模型进一步在指标层面识别制约系统协调提升的主要因素，为解释CCD结果和提出政策建议提供依据。</w:t>
            </w:r>
          </w:p>
          <w:p>
            <w:pPr>
              <w:spacing w:after="20"/>
            </w:pPr>
            <w:r>
              <w:rPr>
                <w:rFonts w:ascii="微软雅黑" w:hAnsi="微软雅黑" w:eastAsia="微软雅黑"/>
                <w:b w:val="0"/>
                <w:color w:val="1F2933"/>
                <w:sz w:val="21"/>
              </w:rPr>
              <w:t>需要注意：障碍度并不是数学上分解CCD公式本身，而是解释哪些指标拖累了系统发展，从而可能影响协调水平。</w:t>
            </w:r>
          </w:p>
        </w:tc>
      </w:tr>
    </w:tbl>
    <w:p>
      <w:pPr>
        <w:spacing w:before="200" w:after="100"/>
      </w:pPr>
      <w:r>
        <w:rPr>
          <w:rFonts w:ascii="微软雅黑" w:hAnsi="微软雅黑" w:eastAsia="微软雅黑"/>
          <w:b/>
          <w:color w:val="1F4E79"/>
          <w:sz w:val="36"/>
        </w:rPr>
        <w:t>三、如果I系统是短板，后续固定效应和调节效应是否还有意义？</w:t>
      </w:r>
    </w:p>
    <w:p>
      <w:pPr>
        <w:spacing w:after="80" w:line="283" w:lineRule="auto"/>
      </w:pPr>
      <w:r>
        <w:rPr>
          <w:rFonts w:ascii="微软雅黑" w:hAnsi="微软雅黑" w:eastAsia="微软雅黑"/>
          <w:b w:val="0"/>
          <w:color w:val="1F2933"/>
          <w:sz w:val="22"/>
        </w:rPr>
        <w:t>有意义，而且论文主线会更清楚。若障碍度显示AI产业发展 I 是短板，后续模型正好可以解释：AI教育供给 E 和金融支持 F 是否有助于改善 I，以及 F 是否强化 E -&gt; I 的转化。</w:t>
      </w:r>
    </w:p>
    <w:p>
      <w:pPr>
        <w:spacing w:after="80" w:line="283" w:lineRule="auto"/>
      </w:pPr>
      <w:r>
        <w:rPr>
          <w:rFonts w:ascii="微软雅黑" w:hAnsi="微软雅黑" w:eastAsia="微软雅黑"/>
          <w:b w:val="0"/>
          <w:color w:val="1F2933"/>
          <w:sz w:val="22"/>
        </w:rPr>
        <w:t>此时逻辑不是“障碍度证明金融支持影响I”，而是“障碍度提出问题，回归模型解释问题”。</w:t>
      </w:r>
    </w:p>
    <w:tbl>
      <w:tblPr>
        <w:tblW w:type="auto" w:w="0"/>
        <w:tblLayout w:type="autofit"/>
        <w:tblLook w:firstColumn="1" w:firstRow="1" w:lastColumn="0" w:lastRow="0" w:noHBand="0" w:noVBand="1" w:val="04A0"/>
      </w:tblPr>
      <w:tblGrid>
        <w:gridCol w:w="10086"/>
      </w:tblGrid>
      <w:tr>
        <w:tc>
          <w:tcPr>
            <w:tcW w:type="dxa" w:w="10086"/>
            <w:shd w:fill="EAF7F0"/>
            <w:tcBorders>
              <w:top w:val="single" w:sz="10" w:color="2E7D60"/>
              <w:left w:val="single" w:sz="10" w:color="2E7D60"/>
              <w:bottom w:val="single" w:sz="10" w:color="2E7D60"/>
              <w:right w:val="single" w:sz="10" w:color="2E7D60"/>
            </w:tcBorders>
          </w:tcPr>
          <w:p>
            <w:pPr>
              <w:spacing w:after="60"/>
            </w:pPr>
            <w:r>
              <w:rPr>
                <w:rFonts w:ascii="微软雅黑" w:hAnsi="微软雅黑" w:eastAsia="微软雅黑"/>
                <w:b/>
                <w:color w:val="1F4E79"/>
                <w:sz w:val="24"/>
              </w:rPr>
              <w:t>核心调节效应模型</w:t>
            </w:r>
          </w:p>
          <w:p>
            <w:pPr>
              <w:spacing w:after="20"/>
            </w:pPr>
            <w:r>
              <w:rPr>
                <w:rFonts w:ascii="微软雅黑" w:hAnsi="微软雅黑" w:eastAsia="微软雅黑"/>
                <w:b w:val="0"/>
                <w:color w:val="1F2933"/>
                <w:sz w:val="21"/>
              </w:rPr>
              <w:t>I_it = α + β1E_it + β2F_it + β3(E_it × F_it) + Controls_it + μ_i + λ_t + ε_it</w:t>
            </w:r>
          </w:p>
          <w:p>
            <w:pPr>
              <w:spacing w:after="20"/>
            </w:pPr>
            <w:r>
              <w:rPr>
                <w:rFonts w:ascii="微软雅黑" w:hAnsi="微软雅黑" w:eastAsia="微软雅黑"/>
                <w:b w:val="0"/>
                <w:color w:val="1F2933"/>
                <w:sz w:val="21"/>
              </w:rPr>
              <w:t>若 β3 &gt; 0 且显著，说明金融支持越强，AI教育供给对AI产业发展的促进关系越强。</w:t>
            </w:r>
          </w:p>
          <w:p>
            <w:pPr>
              <w:spacing w:after="20"/>
            </w:pPr>
            <w:r>
              <w:rPr>
                <w:rFonts w:ascii="微软雅黑" w:hAnsi="微软雅黑" w:eastAsia="微软雅黑"/>
                <w:b w:val="0"/>
                <w:color w:val="1F2933"/>
                <w:sz w:val="21"/>
              </w:rPr>
              <w:t>注意：若没有更强识别设计，应表述为“正向调节作用”，而不是强因果意义上的“证明提升效率”。</w:t>
            </w:r>
          </w:p>
        </w:tc>
      </w:tr>
    </w:tbl>
    <w:p>
      <w:pPr>
        <w:spacing w:before="200" w:after="100"/>
      </w:pPr>
      <w:r>
        <w:rPr>
          <w:rFonts w:ascii="微软雅黑" w:hAnsi="微软雅黑" w:eastAsia="微软雅黑"/>
          <w:b/>
          <w:color w:val="1F4E79"/>
          <w:sz w:val="36"/>
        </w:rPr>
        <w:t>四、什么时候后续模型才会真的失去意义？</w:t>
      </w:r>
    </w:p>
    <w:p>
      <w:pPr>
        <w:spacing w:after="80" w:line="283" w:lineRule="auto"/>
      </w:pPr>
      <w:r>
        <w:rPr>
          <w:rFonts w:ascii="微软雅黑" w:hAnsi="微软雅黑" w:eastAsia="微软雅黑"/>
          <w:b w:val="0"/>
          <w:color w:val="1F2933"/>
          <w:sz w:val="22"/>
        </w:rPr>
        <w:t>真正危险的情况不是 I 是短板，而是 I 几乎没有时间变化或地区差异。若AI产业发展指数在样本中长期很低且几乎不变，固定效应模型就很难估计出有意义的系数。</w:t>
      </w:r>
    </w:p>
    <w:p>
      <w:pPr>
        <w:spacing w:after="80" w:line="283" w:lineRule="auto"/>
      </w:pPr>
      <w:r>
        <w:rPr>
          <w:rFonts w:ascii="微软雅黑" w:hAnsi="微软雅黑" w:eastAsia="微软雅黑"/>
          <w:b w:val="0"/>
          <w:color w:val="1F2933"/>
          <w:sz w:val="22"/>
        </w:rPr>
        <w:t>因此，后续必须先确认样本单位。如果 i 是省份，应采用省际面板；如果 i 是福建省内城市，需要市级AI教育、金融和产业数据；如果只有福建单省时间序列，则不能直接套用双向固定效应模型。</w:t>
      </w:r>
    </w:p>
    <w:p>
      <w:pPr>
        <w:spacing w:before="200" w:after="100"/>
      </w:pPr>
      <w:r>
        <w:rPr>
          <w:rFonts w:ascii="微软雅黑" w:hAnsi="微软雅黑" w:eastAsia="微软雅黑"/>
          <w:b/>
          <w:color w:val="1F4E79"/>
          <w:sz w:val="36"/>
        </w:rPr>
        <w:t>五、可直接写入论文的方法衔接表述</w:t>
      </w:r>
    </w:p>
    <w:tbl>
      <w:tblPr>
        <w:tblW w:type="auto" w:w="0"/>
        <w:tblLayout w:type="autofit"/>
        <w:tblLook w:firstColumn="1" w:firstRow="1" w:lastColumn="0" w:lastRow="0" w:noHBand="0" w:noVBand="1" w:val="04A0"/>
      </w:tblPr>
      <w:tblGrid>
        <w:gridCol w:w="10086"/>
      </w:tblGrid>
      <w:tr>
        <w:tc>
          <w:tcPr>
            <w:tcW w:type="dxa" w:w="10086"/>
            <w:shd w:fill="EAF7F0"/>
            <w:tcBorders>
              <w:top w:val="single" w:sz="10" w:color="2E7D60"/>
              <w:left w:val="single" w:sz="10" w:color="2E7D60"/>
              <w:bottom w:val="single" w:sz="10" w:color="2E7D60"/>
              <w:right w:val="single" w:sz="10" w:color="2E7D60"/>
            </w:tcBorders>
          </w:tcPr>
          <w:p>
            <w:pPr>
              <w:spacing w:after="60"/>
            </w:pPr>
            <w:r>
              <w:rPr>
                <w:rFonts w:ascii="微软雅黑" w:hAnsi="微软雅黑" w:eastAsia="微软雅黑"/>
                <w:b/>
                <w:color w:val="1F4E79"/>
                <w:sz w:val="24"/>
              </w:rPr>
              <w:t>论文表述建议</w:t>
            </w:r>
          </w:p>
          <w:p>
            <w:pPr>
              <w:spacing w:after="20"/>
            </w:pPr>
            <w:r>
              <w:rPr>
                <w:rFonts w:ascii="微软雅黑" w:hAnsi="微软雅黑" w:eastAsia="微软雅黑"/>
                <w:b w:val="0"/>
                <w:color w:val="1F2933"/>
                <w:sz w:val="21"/>
              </w:rPr>
              <w:t>本文首先基于保守、核心和扩展三类AI识别口径，构建金融支持、AI教育供给和AI产业发展三个子系统评价指标，并测算各子系统发展水平。在此基础上，采用耦合协调度模型刻画三系统协调状态，进一步运用障碍度模型识别制约协调水平提升的主要指标和短板系统。</w:t>
            </w:r>
          </w:p>
          <w:p>
            <w:pPr>
              <w:spacing w:after="20"/>
            </w:pPr>
            <w:r>
              <w:rPr>
                <w:rFonts w:ascii="微软雅黑" w:hAnsi="微软雅黑" w:eastAsia="微软雅黑"/>
                <w:b w:val="0"/>
                <w:color w:val="1F2933"/>
                <w:sz w:val="21"/>
              </w:rPr>
              <w:t>若障碍度结果显示AI产业发展系统是主要短板，则本文进一步以AI产业发展水平为被解释变量，检验AI教育供给和金融支持是否能够解释产业系统的变化，并重点考察金融支持是否在AI教育供给向AI产业发展转化过程中发挥正向调节作用。</w:t>
            </w:r>
          </w:p>
          <w:p>
            <w:pPr>
              <w:spacing w:after="20"/>
            </w:pPr>
            <w:r>
              <w:rPr>
                <w:rFonts w:ascii="微软雅黑" w:hAnsi="微软雅黑" w:eastAsia="微软雅黑"/>
                <w:b w:val="0"/>
                <w:color w:val="1F2933"/>
                <w:sz w:val="21"/>
              </w:rPr>
              <w:t>最后，通过替换AI识别口径、滞后变量和权重方法进行稳健性检验，以考察主要结论是否依赖特定指标设定。</w:t>
            </w:r>
          </w:p>
        </w:tc>
      </w:tr>
    </w:tbl>
    <w:p>
      <w:pPr>
        <w:spacing w:before="200" w:after="100"/>
      </w:pPr>
      <w:r>
        <w:rPr>
          <w:rFonts w:ascii="微软雅黑" w:hAnsi="微软雅黑" w:eastAsia="微软雅黑"/>
          <w:b/>
          <w:color w:val="1F4E79"/>
          <w:sz w:val="36"/>
        </w:rPr>
        <w:t>六、一句话概括</w:t>
      </w:r>
    </w:p>
    <w:tbl>
      <w:tblPr>
        <w:tblW w:type="auto" w:w="0"/>
        <w:tblLayout w:type="autofit"/>
        <w:tblLook w:firstColumn="1" w:firstRow="1" w:lastColumn="0" w:lastRow="0" w:noHBand="0" w:noVBand="1" w:val="04A0"/>
      </w:tblPr>
      <w:tblGrid>
        <w:gridCol w:w="10086"/>
      </w:tblGrid>
      <w:tr>
        <w:tc>
          <w:tcPr>
            <w:tcW w:type="dxa" w:w="10086"/>
            <w:shd w:fill="FFF0EF"/>
            <w:tcBorders>
              <w:top w:val="single" w:sz="10" w:color="B55454"/>
              <w:left w:val="single" w:sz="10" w:color="B55454"/>
              <w:bottom w:val="single" w:sz="10" w:color="B55454"/>
              <w:right w:val="single" w:sz="10" w:color="B55454"/>
            </w:tcBorders>
          </w:tcPr>
          <w:p>
            <w:pPr>
              <w:spacing w:after="60"/>
            </w:pPr>
            <w:r>
              <w:rPr>
                <w:rFonts w:ascii="微软雅黑" w:hAnsi="微软雅黑" w:eastAsia="微软雅黑"/>
                <w:b/>
                <w:color w:val="1F4E79"/>
                <w:sz w:val="24"/>
              </w:rPr>
              <w:t>最简逻辑</w:t>
            </w:r>
          </w:p>
          <w:p>
            <w:pPr>
              <w:spacing w:after="20"/>
            </w:pPr>
            <w:r>
              <w:rPr>
                <w:rFonts w:ascii="微软雅黑" w:hAnsi="微软雅黑" w:eastAsia="微软雅黑"/>
                <w:b w:val="0"/>
                <w:color w:val="1F2933"/>
                <w:sz w:val="21"/>
              </w:rPr>
              <w:t>CCD回答“协调水平如何”；障碍度回答“短板在哪里”；固定效应回答“E和F是否与I相关”；调节效应回答“F是否强化E向I的转化”；口径检验回答“结论是否依赖AI定义”。</w:t>
            </w:r>
          </w:p>
        </w:tc>
      </w:tr>
    </w:tbl>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color w:val="6B7280"/>
        <w:sz w:val="18"/>
      </w:rPr>
      <w:t>论文方法逻辑讨论备忘 | 仅供修改与导师沟通使用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