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36" w:lineRule="auto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36" w:lineRule="auto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36" w:lineRule="auto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spacing w:before="120" w:after="40" w:line="336" w:lineRule="auto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0.296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36" w:lineRule="auto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36" w:lineRule="auto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0.289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市排名仅三明与漳州相邻互换、D 值几乎不变（福州 0.936→0.934、厦门 0.913→0.927）。结论：双核—腹地格局对权重选择稳健，等权法作主模型成立。熵值法下供给规模权重偏低、供给质量/产业转化偏高，源于福厦在后两者上离散度更大——故熵值法宜作稳健性而非唯一主模型。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六、空间扩展：厦漳泉都市圈协同的三市组合置换检验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人才供需匹配未必止于行政边界。为检验厦门、漳州、泉州是否存在都市圈协同，且避免小样本空间计量的设定争议，本文采用穷举置换检验：在 9 市任选 3 市的全部 C(9,3)=84 个组合中，看厦漳泉的区域协同表现是否高于多数随机组合。该法零新数据、不依赖空间权重矩阵。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21"/>
        </w:rPr>
        <w:t>数据处理与指标：对每个三市组合，将三市并为一个区域，区域 E、I 用人口加权聚合（E_组=ΣpᵢEᵢ/Σpᵢ；对人均环节恰等于“三市合并后人均”，且沿用 9 市原标准化基准，故 D_组 与单市 Dᵢ 同尺度可比）。据此构造三个指标：①区域协调度 D_组=√(C·T)；②区域协同溢价 RSP=D_组−mean(Dᵢ)（组团是否优于单市平均）；③均衡改善度 BI=mean(|Eᵢ−Iᵢ|)−|E_组−I_组|（组团是否使供需更均衡）——BI 为协同互补的主指标。</w:t>
      </w:r>
    </w:p>
    <w:p>
      <w:pPr>
        <w:spacing w:before="40" w:after="40" w:line="336" w:lineRule="auto"/>
      </w:pPr>
      <w:r>
        <w:rPr>
          <w:rFonts w:ascii="Songti SC" w:hAnsi="Songti SC" w:eastAsia="Songti SC"/>
          <w:b w:val="0"/>
          <w:sz w:val="21"/>
        </w:rPr>
        <w:t>检验过程：对 84 组逐一计算三指标并排序，看厦漳泉组合的名次与分位。结果如下表。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厦漳泉排名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解读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D_组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区域整体协调度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 / 84（前58%）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中游——漳、泉低 D 拖累整体水平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RSP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区域协同溢价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53 / 84（前63%）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简单“组团提升”不突出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BI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均衡改善度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 / 84（前6%）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强信号——互补使供需更均衡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59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组三市组合中的均衡改善度（BI）排位（B口径，2024）。</w:t>
      </w:r>
    </w:p>
    <w:p>
      <w:pPr>
        <w:spacing w:before="80" w:after="80" w:line="336" w:lineRule="auto"/>
      </w:pPr>
      <w:r>
        <w:rPr>
          <w:rFonts w:ascii="Songti SC" w:hAnsi="Songti SC" w:eastAsia="Songti SC"/>
          <w:b w:val="0"/>
          <w:sz w:val="21"/>
        </w:rPr>
        <w:t>解读：厦漳泉在“整体水平（D_组）”与“简单协同溢价（RSP）”上仅居中游，但在“均衡改善度（BI）”上位列前 6%——即厦门产业领先、泉漳教育与承接相对偏强，三市并为区域后教育—产业缺口显著缩小，呈现互补型都市圈协同信号。</w:t>
      </w:r>
    </w:p>
    <w:p>
      <w:pPr>
        <w:spacing w:before="40" w:after="80" w:line="336" w:lineRule="auto"/>
      </w:pPr>
      <w:r>
        <w:rPr>
          <w:rFonts w:ascii="Songti SC" w:hAnsi="Songti SC" w:eastAsia="Songti SC"/>
          <w:b w:val="0"/>
          <w:sz w:val="19"/>
        </w:rPr>
        <w:t>结论边界（重要）：BI 高位组合普遍包含厦门（前 10% 组合中厦门出现 8/8），故这是“厦门锚定的互补效应”，厦漳泉因地理邻近与产业链联系而具备现实都市圈基础、落在高均衡区，但置换检验只能提示协同信号，不能证明因果“抱团”；其机制仍需跨市人才流动、企业合作与产业链数据进一步验证。</w:t>
      </w:r>
    </w:p>
    <w:p>
      <w:pPr>
        <w:keepNext/>
        <w:spacing w:before="240" w:after="100"/>
      </w:pPr>
      <w:r>
        <w:rPr>
          <w:rFonts w:ascii="Heiti SC" w:hAnsi="Heiti SC" w:eastAsia="Heiti SC"/>
          <w:b/>
          <w:color w:val="1F3A4A"/>
          <w:sz w:val="30"/>
        </w:rPr>
        <w:t>七、稳健性与局限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36" w:lineRule="auto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