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Access Management Review — ITGC Checklist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Domain: Access to Programs and Data (and related ITGC areas)</w:t>
      </w:r>
    </w:p>
    <w:p>
      <w:pPr>
        <w:pStyle w:val="Heading2"/>
        <w:spacing w:after="120" w:before="300"/>
      </w:pPr>
      <w:r>
        <w:t xml:space="preserve">1. User Access Provisioning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Formal access request and approval process exists (documented, not verbal)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Approval obtained from appropriate authority (system/data owner, not just IT)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Access granted matches an approved role/access matrix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Provisioning evidence retained (ticket, form, workflow sign-off)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Segregation of duties (SoD) considered at time of provisioning</w:t>
      </w:r>
    </w:p>
    <w:p>
      <w:pPr>
        <w:pStyle w:val="Heading2"/>
        <w:spacing w:after="120" w:before="300"/>
      </w:pPr>
      <w:r>
        <w:t xml:space="preserve">2. User Access Deprovisioning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Termination/transfer triggers timely access revocation (defined SLA)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Deprovisioning covers all in-scope systems, not just primary directory/email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Evidence retained: termination date vs. access removal date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Separate process exists for involuntary/immediate terminations</w:t>
      </w:r>
    </w:p>
    <w:p>
      <w:pPr>
        <w:pStyle w:val="Heading2"/>
        <w:spacing w:after="120" w:before="300"/>
      </w:pPr>
      <w:r>
        <w:t xml:space="preserve">3. Periodic User Access Review (UAR)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Recertification performed at defined frequency (quarterly/semi-annual)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Review performed by appropriate business/data owner (not IT self-review)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Evidence of review completion retained (signed report, attestation)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Exceptions identified are remediated with evidence retained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Review population is complete for the audit period, not an ad hoc sample</w:t>
      </w:r>
    </w:p>
    <w:p>
      <w:pPr>
        <w:pStyle w:val="Heading2"/>
        <w:spacing w:after="120" w:before="300"/>
      </w:pPr>
      <w:r>
        <w:t xml:space="preserve">4. Privileged / Administrative Access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Privileged access inventory maintained and current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Privileged access restricted to legitimate business need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Privileged access reviewed at equal or greater frequency than standard access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Privileged account activity logged and periodically reviewed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Generic/shared privileged accounts avoided, or compensating controls documented</w:t>
      </w:r>
    </w:p>
    <w:p>
      <w:pPr>
        <w:pStyle w:val="Heading2"/>
        <w:spacing w:after="120" w:before="300"/>
      </w:pPr>
      <w:r>
        <w:t xml:space="preserve">5. Segregation of Duties (SoD)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SoD conflict matrix defined for key processes/applications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SoD conflicts identified during access reviews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Compensating controls documented for accepted SoD conflicts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SoD conflicts remediated timely or formally risk-accepted with sign-off</w:t>
      </w:r>
    </w:p>
    <w:p>
      <w:pPr>
        <w:pStyle w:val="Heading2"/>
        <w:spacing w:after="120" w:before="300"/>
      </w:pPr>
      <w:r>
        <w:t xml:space="preserve">6. Password / Authentication Configuration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Password policy configuration meets defined standard (evidenced by export/screenshot)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MFA enforced for remote and/or privileged access per policy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Default/vendor-supplied credentials changed or disabled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Session timeout parameters configured per policy</w:t>
      </w:r>
    </w:p>
    <w:p>
      <w:pPr>
        <w:pStyle w:val="Heading2"/>
        <w:spacing w:after="120" w:before="300"/>
      </w:pPr>
      <w:r>
        <w:t xml:space="preserve">7. Network / OS / Database-Level Access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OS-level and database-level access reviewed with same rigor as application access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Direct database access (bypassing application controls) restricted and monitored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Server/administrator access reconciled against an approved list</w:t>
      </w:r>
    </w:p>
    <w:p>
      <w:pPr>
        <w:pStyle w:val="Heading2"/>
        <w:spacing w:after="120" w:before="300"/>
      </w:pPr>
      <w:r>
        <w:t xml:space="preserve">8. Program Change Management (access-adjacent)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Access to migrate changes to production is restricted and segregated from development access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Developers do not have direct production access (or compensating controls exist)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Change approval evidenced prior to production deployment</w:t>
      </w:r>
    </w:p>
    <w:p>
      <w:pPr>
        <w:pStyle w:val="Heading2"/>
        <w:spacing w:after="120" w:before="300"/>
      </w:pPr>
      <w:r>
        <w:t xml:space="preserve">9. Computer Operations (access-adjacent)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Access to job scheduling/batch processing tools restricted to authorized personnel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Backup access and restoration rights restricted and monitored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System/security logs protected from unauthorized modification</w:t>
      </w:r>
    </w:p>
    <w:p>
      <w:pPr>
        <w:pStyle w:val="Heading2"/>
        <w:spacing w:after="120" w:before="300"/>
      </w:pPr>
      <w:r>
        <w:t xml:space="preserve">10. Documentation &amp; Evidence Standards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Control description, owner, frequency, and evidence type documented for each control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Population completeness verified before sampling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Prior period exceptions tracked to remediation and re-tested</w:t>
      </w:r>
    </w:p>
    <w:p>
      <w:pPr>
        <w:spacing w:before="3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Testing Approach Reference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Inquiry — ask the process owner how the control operates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Observation — watch the control being performed once, if feasible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Inspection — pull evidence for a sample and verify it supports the control</w:t>
      </w:r>
    </w:p>
    <w:p>
      <w:pPr>
        <w:spacing w:after="12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Reperformance — independently redo part of the control to confirm the outcome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2026-09-16T04:02:04.989Z</dcterms:created>
  <dcterms:modified xsi:type="dcterms:W3CDTF">2026-09-16T04:02:04.998Z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