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Third-Party / Vendor Security Checklist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Covers onboarding, ongoing monitoring, and offboarding of vendors with access to systems or data</w:t>
      </w:r>
    </w:p>
    <w:p>
      <w:pPr>
        <w:pStyle w:val="Heading2"/>
        <w:spacing w:after="120" w:before="300"/>
      </w:pPr>
      <w:r>
        <w:t xml:space="preserve">1. Pre-Engagement / Vendor Selection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Vendor's intended access/scope is documented before engagement (systems, data types, environments)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Data sensitivity of what the vendor will access/process is classified (e.g., confidential, financial, PII)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Vendor risk tier assigned based on access level and data sensitivity (e.g., critical/high/medium/low)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Alternative vendors considered where a single vendor represents concentration risk</w:t>
      </w:r>
    </w:p>
    <w:p>
      <w:pPr>
        <w:pStyle w:val="Heading2"/>
        <w:spacing w:after="120" w:before="300"/>
      </w:pPr>
      <w:r>
        <w:t xml:space="preserve">2. Security Risk Assessment (Pre-Onboarding)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Formal security questionnaire completed by the vendor before contract signature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SOC 1 / SOC 2 Type II report (or equivalent, e.g., ISO 27001 certificate) obtained and reviewed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Any exceptions or qualified opinions in the vendor's audit report are assessed for impact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Vendor's subprocessors/subcontractors identified and assessed if they will also access data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Vendor's data residency/location disclosed and assessed against regulatory requirements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Vendor's incident history (breaches, major outages) reviewed where available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Higher-risk vendors undergo a deeper assessment (e.g., penetration test summary, architecture review)</w:t>
      </w:r>
    </w:p>
    <w:p>
      <w:pPr>
        <w:pStyle w:val="Heading2"/>
        <w:spacing w:after="120" w:before="300"/>
      </w:pPr>
      <w:r>
        <w:t xml:space="preserve">3. Contractual &amp; Legal Protections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Data Processing Agreement (DPA) or equivalent executed before data sharing begins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Contract specifies security requirements (encryption, access control, breach notification timelines)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Right-to-audit clause included, or equivalent assurance mechanism (e.g., annual SOC report requirement)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Breach/incident notification obligations and timelines are explicitly defined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Data retention and secure destruction/return-of-data requirements defined for contract termination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Liability and indemnification terms address security incidents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Confidentiality/NDA terms in place covering the vendor's personnel</w:t>
      </w:r>
    </w:p>
    <w:p>
      <w:pPr>
        <w:pStyle w:val="Heading2"/>
        <w:spacing w:after="120" w:before="300"/>
      </w:pPr>
      <w:r>
        <w:t xml:space="preserve">4. Access Provisioning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Vendor access is provisioned only after contract and security review are complete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Vendor accounts follow least-privilege principle — scoped to only what's contractually needed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Vendor accounts are clearly identifiable/tagged as third-party (not indistinguishable from employee accounts)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MFA required for any vendor remote access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Vendor access approval is documented and retained</w:t>
      </w:r>
    </w:p>
    <w:p>
      <w:pPr>
        <w:pStyle w:val="Heading2"/>
        <w:spacing w:after="120" w:before="300"/>
      </w:pPr>
      <w:r>
        <w:t xml:space="preserve">5. Ongoing Monitoring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Vendor access is reviewed periodically (same cadence as, or more frequent than, internal access reviews)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Vendor activity/logs are monitored, especially for privileged or remote access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Updated SOC/compliance reports are obtained and reviewed annually (or per contract terms)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Vendor's security posture is reassessed if their risk tier, scope of access, or ownership changes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Critical vendors are monitored for public breach disclosures or negative security news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Vendor risk register/inventory is kept current and reviewed at a defined frequency</w:t>
      </w:r>
    </w:p>
    <w:p>
      <w:pPr>
        <w:pStyle w:val="Heading2"/>
        <w:spacing w:after="120" w:before="300"/>
      </w:pPr>
      <w:r>
        <w:t xml:space="preserve">6. Incident Management (Vendor-Related)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Process exists for the vendor to notify the organization of a security incident within contracted timelines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Internal process exists for responding to a vendor-reported or vendor-caused incident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Vendor incidents are logged, tracked, and factored into future risk assessments of that vendor</w:t>
      </w:r>
    </w:p>
    <w:p>
      <w:pPr>
        <w:pStyle w:val="Heading2"/>
        <w:spacing w:after="120" w:before="300"/>
      </w:pPr>
      <w:r>
        <w:t xml:space="preserve">7. Offboarding / Contract Termination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Vendor access is revoked promptly upon contract termination or end of engagement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Confirmation obtained that vendor has returned or securely destroyed company data per contract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Any shared credentials, API keys, or integration tokens used by the vendor are rotated/revoked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Termination is documented with evidence (revocation confirmation, data destruction certificate)</w:t>
      </w:r>
    </w:p>
    <w:p>
      <w:pPr>
        <w:pStyle w:val="Heading2"/>
        <w:spacing w:after="120" w:before="300"/>
      </w:pPr>
      <w:r>
        <w:t xml:space="preserve">8. Governance &amp; Documentation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Central vendor inventory maintained, including risk tier, access scope, and contract/renewal dates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Vendor risk assessment process is documented and consistently applied across the organization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Ownership for each vendor relationship is assigned to a specific internal business/security owner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Vendor security program is periodically reviewed by internal audit or compliance function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2026-09-16T05:51:55.098Z</dcterms:created>
  <dcterms:modified xsi:type="dcterms:W3CDTF">2026-09-16T05:51:55.106Z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