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spacing w:after="120"/>
      </w:pPr>
      <w:r>
        <w:rPr>
          <w:color w:val="64748B"/>
        </w:rPr>
        <w:t xml:space="preserve">Course AIAgent_05_2026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been completed with a high attendance rate of 90.4% and a completion rate of 100%. The overall pass rate stands at 92.3%, with an average score of 7.88 out of 10. Despite these positive metrics, the overall effectiveness classification is marked as Risk, indicating potential areas for improvement.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spacing w:after="120"/>
      </w:pPr>
      <w:r>
        <w:rPr>
          <w:b/>
          <w:bCs/>
          <w:color w:val="0F172A"/>
        </w:rPr>
        <w:t xml:space="preserve">Overall KPI vs target</w:t>
      </w:r>
    </w:p>
    <w:p>
      <w:pPr>
        <w:spacing w:after="120"/>
      </w:pPr>
      <w:r>
        <w:rPr>
          <w:color w:val="64748B"/>
        </w:rPr>
        <w:t xml:space="preserve">Validated performance metrics compared with L&amp;D operating thresholds.</w:t>
      </w:r>
    </w:p>
    <w:p>
      <w:pPr>
        <w:spacing w:after="220" w:before="80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  <w:color w:val="0F172A"/>
        </w:rPr>
        <w:t xml:space="preserve">Governance flags by priority</w:t>
      </w:r>
    </w:p>
    <w:p>
      <w:pPr>
        <w:spacing w:after="120"/>
      </w:pPr>
      <w:r>
        <w:rPr>
          <w:color w:val="64748B"/>
        </w:rPr>
        <w:t xml:space="preserve">NORM rule triggers grouped by business priority.</w:t>
      </w:r>
    </w:p>
    <w:p>
      <w:pPr>
        <w:spacing w:after="220" w:before="80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However, the effectiveness score of 89.47 suggests that while the majority of trainees performed well, there a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Additionally, consider reviewing course content and delivery methods to address the effectiveness classification of Risk, ensuring that all learners achieve the desired outcomes.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rpt_72ad1589-30b1-4e03-ac9e-e1b5db7cf30e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ds_f0fda4a639fc2f5a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mx_65c29907-d2a4-4644-ad3a-4c8f9b827982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ev_5d25c755-06f8-41d8-b9f3-1ec83d5b7a85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gv_f4bdd5fb-c192-4928-b5af-b4b5e8e55478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c8fb0cf78455398e22ec19bc10d13af1b081e0.svg"/><Relationship Id="rId8" Type="http://schemas.openxmlformats.org/officeDocument/2006/relationships/image" Target="media/fc810f84646f55799f287b584670b172000b7267.png"/><Relationship Id="rId9" Type="http://schemas.openxmlformats.org/officeDocument/2006/relationships/image" Target="media/758b9722afb475db7283023a049ae64c55b488f6.sv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2026-06-21T18:09:28.923Z</dcterms:created>
  <dcterms:modified xsi:type="dcterms:W3CDTF">2026-06-21T18:09:28.923Z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