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total of 13 trainees. The overall attendance rate is 90.4%, with a completion rate of 100% and a pass rate of 92.3%. The average score achieved by trainees is 7.88 out of 10, indicating a generally positive reception of the training content. However, the overall effectiveness classification is marked as Risk, suggesting potential areas for improvement despite the high completion and attendance rates.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7.88/10 and a feedback rating of 4.73/5 reflect a favorable perception of the training.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the course content to ensure it meets the diverse learning needs of all participants.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should be established to identify and address any emerging issues promptly.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rpt_a3071787-0aa7-46a5-b439-455f930bd6b1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ds_04dd4a64d7a190bb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mx_55ea9c8c-31d9-4085-8abe-fd7758692fd2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ev_0d4e563d-50da-48fc-9b9b-4465f1dc512e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gv_1927b940-29be-4447-890e-7dca78800878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2026-06-21T17:01:05.141Z</dcterms:created>
  <dcterms:modified xsi:type="dcterms:W3CDTF">2026-06-21T17:01:05.141Z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