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rate mix</w:t>
      </w:r>
    </w:p>
    <w:p>
      <w:pPr>
        <w:spacing w:after="120"/>
      </w:pPr>
      <w:r>
        <w:rPr>
          <w:color w:val="64748B"/>
        </w:rPr>
        <w:t xml:space="preserve">Attendance, completion, and pass rate by course.</w:t>
      </w:r>
    </w:p>
    <w:p>
      <w:pPr>
        <w:spacing w:after="220" w:before="80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rpt_41d09c36-35d4-4aff-883a-da67846eeeba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ds_7de7f24dde96af96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mx_2492b2c7-c96d-4458-988c-413fab9430a4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ev_37646c65-56a9-4a5a-9fe8-05aacfc03c5c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gv_771ba195-3045-4198-a713-7f41d1c08ff6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5fa6cba8f2680c4d52af876dbcf2221d9c0d13c9.svg"/><Relationship Id="rId10" Type="http://schemas.openxmlformats.org/officeDocument/2006/relationships/image" Target="media/db8246509a27e8623c3b922c9a4af896f4bf4793.svg"/><Relationship Id="rId11" Type="http://schemas.openxmlformats.org/officeDocument/2006/relationships/image" Target="media/dfc14f136df524e971b1e83d533f7db2cbba19c7.sv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2026-06-21T18:08:48.688Z</dcterms:created>
  <dcterms:modified xsi:type="dcterms:W3CDTF">2026-06-21T18:08:48.688Z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