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keepLines/>
        <w:spacing w:after="120"/>
      </w:pPr>
      <w:r>
        <w:rPr>
          <w:color w:val="64748B"/>
        </w:rPr>
        <w:t xml:space="preserve">Period 2026-Q1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Next/>
        <w:keepLines/>
        <w:spacing w:after="120"/>
      </w:pPr>
      <w:r>
        <w:rPr>
          <w:b/>
          <w:bCs/>
          <w:color w:val="0F172A"/>
        </w:rPr>
        <w:t xml:space="preserve">Overall KPI vs target</w:t>
      </w:r>
    </w:p>
    <w:p>
      <w:pPr>
        <w:keepNext/>
        <w:keepLines/>
        <w:spacing w:after="120"/>
      </w:pPr>
      <w:r>
        <w:rPr>
          <w:color w:val="64748B"/>
        </w:rPr>
        <w:t xml:space="preserve">Validated performance metrics compared with L&amp;D operating thresholds.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120"/>
      </w:pPr>
      <w:r>
        <w:rPr>
          <w:b/>
          <w:bCs/>
          <w:color w:val="0F172A"/>
        </w:rPr>
        <w:t xml:space="preserve">Course rate mix</w:t>
      </w:r>
    </w:p>
    <w:p>
      <w:pPr>
        <w:keepNext/>
        <w:keepLines/>
        <w:spacing w:after="120"/>
      </w:pPr>
      <w:r>
        <w:rPr>
          <w:color w:val="64748B"/>
        </w:rPr>
        <w:t xml:space="preserve">Attendance, completion, and pass rate by course.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120"/>
      </w:pPr>
      <w:r>
        <w:rPr>
          <w:b/>
          <w:bCs/>
          <w:color w:val="0F172A"/>
        </w:rPr>
        <w:t xml:space="preserve">Course effectiveness comparison</w:t>
      </w:r>
    </w:p>
    <w:p>
      <w:pPr>
        <w:keepNext/>
        <w:keepLines/>
        <w:spacing w:after="120"/>
      </w:pPr>
      <w:r>
        <w:rPr>
          <w:color w:val="64748B"/>
        </w:rPr>
        <w:t xml:space="preserve">Effectiveness score by course, using the validated L&amp;D scoring model.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120"/>
      </w:pPr>
      <w:r>
        <w:rPr>
          <w:b/>
          <w:bCs/>
          <w:color w:val="0F172A"/>
        </w:rPr>
        <w:t xml:space="preserve">Governance flags by priority</w:t>
      </w:r>
    </w:p>
    <w:p>
      <w:pPr>
        <w:keepNext/>
        <w:keepLines/>
        <w:spacing w:after="120"/>
      </w:pPr>
      <w:r>
        <w:rPr>
          <w:color w:val="64748B"/>
        </w:rPr>
        <w:t xml:space="preserve">NORM rule triggers grouped by business priority.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keepLines/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rpt_66756af9-8aa5-4adc-8f30-3604c51a86ce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ds_0945ea50182b462c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mx_a201ee9e-100b-4607-8e9c-15a24d342e04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ev_c9b77a41-f1a5-49a1-93d2-a839b1b51b81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gv_bee61182-3c4a-4d33-8e38-ac884c3b2b88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da624ba2e8a25a8a86ac163cb8b1f4f4ad06bf.png"/><Relationship Id="rId8" Type="http://schemas.openxmlformats.org/officeDocument/2006/relationships/image" Target="media/1ddd429748ab2e788d6bfb99c0e3a0a725f0f9fd.png"/><Relationship Id="rId9" Type="http://schemas.openxmlformats.org/officeDocument/2006/relationships/image" Target="media/667bddb7417f552f9a0bfebc88171a4f32383085.png"/><Relationship Id="rId10" Type="http://schemas.openxmlformats.org/officeDocument/2006/relationships/image" Target="media/137fa4dd59feb6e8baf7f11dc8c6a63f02c6a6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2026-06-21T18:32:06.591Z</dcterms:created>
  <dcterms:modified xsi:type="dcterms:W3CDTF">2026-06-21T18:32:06.591Z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