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AI Agent &amp; LLM Application Development</w:t>
      </w:r>
    </w:p>
    <w:p>
      <w:pPr>
        <w:spacing w:after="120"/>
      </w:pPr>
      <w:r>
        <w:rPr>
          <w:color w:val="64748B"/>
        </w:rPr>
        <w:t xml:space="preserve">Course AI Agent &amp; LLM Application Development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spacing w:after="120"/>
      </w:pPr>
      <w:r>
        <w:rPr>
          <w:b/>
          <w:bCs/>
          <w:color w:val="0F172A"/>
        </w:rPr>
        <w:t xml:space="preserve">Overall KPI vs target</w:t>
      </w:r>
    </w:p>
    <w:p>
      <w:pPr>
        <w:spacing w:after="120"/>
      </w:pPr>
      <w:r>
        <w:rPr>
          <w:color w:val="64748B"/>
        </w:rPr>
        <w:t xml:space="preserve">Validated performance metrics compared with L&amp;D operating thresholds.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Governance flags by priority</w:t>
      </w:r>
    </w:p>
    <w:p>
      <w:pPr>
        <w:spacing w:after="120"/>
      </w:pPr>
      <w:r>
        <w:rPr>
          <w:color w:val="64748B"/>
        </w:rPr>
        <w:t xml:space="preserve">NORM rule triggers grouped by business priority.</w:t>
      </w:r>
    </w:p>
    <w:p>
      <w:pPr>
        <w:spacing w:after="220" w:before="80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an effectiveness score of 89.47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rpt_c5a0e847-3641-4878-ad35-21e7b34bf6b1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ds_404a06e94df4b46a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mx_b96a5acd-0e36-4bba-a2e0-8921fd761eb1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ev_433941fe-1f8e-481b-91cd-94e44eddd269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gv_cba5b219-b3f8-4ba0-8221-9f48352a2d19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7c8fb0cf78455398e22ec19bc10d13af1b081e0.svg"/><Relationship Id="rId8" Type="http://schemas.openxmlformats.org/officeDocument/2006/relationships/image" Target="media/fc810f84646f55799f287b584670b172000b7267.png"/><Relationship Id="rId9" Type="http://schemas.openxmlformats.org/officeDocument/2006/relationships/image" Target="media/758b9722afb475db7283023a049ae64c55b488f6.sv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2026-06-21T17:52:03.826Z</dcterms:created>
  <dcterms:modified xsi:type="dcterms:W3CDTF">2026-06-21T17:52:03.826Z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