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effectiveness comparison</w:t>
      </w:r>
    </w:p>
    <w:p>
      <w:pPr>
        <w:spacing w:after="120"/>
      </w:pPr>
      <w:r>
        <w:rPr>
          <w:color w:val="64748B"/>
        </w:rPr>
        <w:t xml:space="preserve">Effectiveness score by course, using the validated L&amp;D scoring model.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rpt_d5025158-a4df-44f3-b2e5-261d80eb58a0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ds_e226026eb259388c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mx_b1f655cb-605f-4619-aa80-bdb1cf013b4b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ev_15e9d61b-d7bd-4a97-b825-12da817bab1c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gv_34b2196c-3f91-46bc-a0b8-597546bde2e0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de72606073781bb0386ff12282035866848d7d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db8246509a27e8623c3b922c9a4af896f4bf4793.svg"/><Relationship Id="rId10" Type="http://schemas.openxmlformats.org/officeDocument/2006/relationships/image" Target="media/4264ddaba722c52ecd4eab70c199a9ebee16bd84.sv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2026-06-21T17:40:23.138Z</dcterms:created>
  <dcterms:modified xsi:type="dcterms:W3CDTF">2026-06-21T17:40:23.138Z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