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20" w:before="280"/>
      </w:pPr>
      <w:r>
        <w:rPr>
          <w:b/>
          <w:bCs/>
          <w:color w:val="0F172A"/>
        </w:rPr>
        <w:t xml:space="preserve">L&amp;D Training Effectiveness Report - 2026-Q1</w:t>
      </w:r>
    </w:p>
    <w:p>
      <w:pPr>
        <w:keepLines/>
        <w:spacing w:after="120"/>
      </w:pPr>
      <w:r>
        <w:rPr>
          <w:color w:val="64748B"/>
        </w:rPr>
        <w:t xml:space="preserve">Period 2026-Q1</w:t>
      </w:r>
    </w:p>
    <w:p>
      <w:pPr>
        <w:keepLines/>
        <w:spacing w:after="120"/>
      </w:pPr>
      <w:r>
        <w:rPr>
          <w:color w:val="64748B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</w:tcPr>
          <w:p>
            <w:pPr>
              <w:keepLines/>
              <w:spacing w:after="120"/>
            </w:pPr>
            <w:r>
              <w:rPr>
                <w:b/>
                <w:bCs/>
                <w:color w:val="0F172A"/>
              </w:rPr>
              <w:t xml:space="preserve">Training effectiveness is strong with validated evidence.</w:t>
            </w:r>
          </w:p>
          <w:p>
            <w:pPr>
              <w:keepLines/>
              <w:spacing w:after="120"/>
            </w:pPr>
            <w:r>
              <w:rPr>
                <w:color w:val="0F172A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spacing w:after="120"/>
      </w:pPr>
      <w:r>
        <w:rPr>
          <w:color w:val="0F172A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Learner attendance across validated sessions.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Completion is based on attendance &gt;= 70%, separate from pass rate.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achievement against course pass threshold.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Average assessment score from validated records.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Combined trainer and content feedback rating.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Total attended training hours.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Scaled cost signal for relative comparison.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Key findings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Strong completion outcome at 98.3% (Excellent)</w:t>
      </w:r>
    </w:p>
    <w:p>
      <w:pPr>
        <w:keepLines/>
        <w:spacing w:after="120"/>
      </w:pPr>
      <w:r>
        <w:rPr>
          <w:color w:val="0F172A"/>
        </w:rPr>
        <w:t xml:space="preserve">Evidence: Completion is calculated as attendance &gt;= 70%; pass rate is tracked separately at 89.8%.</w:t>
      </w:r>
    </w:p>
    <w:p>
      <w:pPr>
        <w:keepLines/>
        <w:spacing w:after="120"/>
      </w:pPr>
      <w:r>
        <w:rPr>
          <w:color w:val="0F172A"/>
        </w:rPr>
        <w:t xml:space="preserve">Implication: Learners are completing the required session exposure, and assessment achievement is also healthy.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Overall effectiveness score is 88.23 (Risk)</w:t>
      </w:r>
    </w:p>
    <w:p>
      <w:pPr>
        <w:keepLines/>
        <w:spacing w:after="120"/>
      </w:pPr>
      <w:r>
        <w:rPr>
          <w:color w:val="0F172A"/>
        </w:rPr>
        <w:t xml:space="preserve">Evidence: Attendance 92.9%, pass rate 89.8%, average score 7.59/10.</w:t>
      </w:r>
    </w:p>
    <w:p>
      <w:pPr>
        <w:keepLines/>
        <w:spacing w:after="120"/>
      </w:pPr>
      <w:r>
        <w:rPr>
          <w:color w:val="0F172A"/>
        </w:rPr>
        <w:t xml:space="preserve">Implication: The selected scope is classified as Risk.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DevOps Fundamentals: CI/CD, K8s, Monitoring has the strongest effectiveness score (92.28) in the selected scop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AWS Cloud Architecture &amp; Services needs attention with effectiveness score 85.76, attendance 93.3%, and pass r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8 outstanding trainees met the star learner rule: score &gt;= 9.0 and full attendance. (Good)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  <w:color w:val="0F172A"/>
        </w:rPr>
        <w:t xml:space="preserve">2 course groups contained learners who need support based on score or attendance policy. (Monitor)</w:t>
      </w:r>
    </w:p>
    <w:p>
      <w:pPr>
        <w:keepLines/>
        <w:spacing w:after="120"/>
      </w:pPr>
      <w:r>
        <w:rPr>
          <w:color w:val="0F172A"/>
        </w:rPr>
        <w:t xml:space="preserve">Evidence: Supported by validated metrics, evidence gate, and L&amp;D NORM checks.</w:t>
      </w:r>
    </w:p>
    <w:p>
      <w:pPr>
        <w:keepLines/>
        <w:spacing w:after="120"/>
      </w:pPr>
      <w:r>
        <w:rPr>
          <w:color w:val="0F172A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outcome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owner, buddy support, and targeted practice resources for the flagged learner.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incomplete learner records for review and schedule re-enrollment in the next suitable cohort.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training effectiveness and repeatability.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Team Manager + L&amp;D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Assign a coaching owner for support-needed learners and review attendance issues with direct managers.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Improve learner recovery and reduce support-needed cases.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Effectiveness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86.66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92.28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Readiness and evidence</w:t>
      </w:r>
    </w:p>
    <w:p>
      <w:pPr>
        <w:keepLines/>
        <w:spacing w:after="120"/>
      </w:pPr>
      <w:r>
        <w:rPr>
          <w:color w:val="0F172A"/>
        </w:rPr>
        <w:t xml:space="preserve">Final conclusion: Allowed</w:t>
      </w:r>
    </w:p>
    <w:p>
      <w:pPr>
        <w:keepLines/>
        <w:spacing w:after="120"/>
      </w:pPr>
      <w:r>
        <w:rPr>
          <w:color w:val="0F172A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All selected courses are completed.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Completed courses require one valid assessment and pass-status row per trainee.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NORM-14 requires at least 60% feedback response rate for valid analysis.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Duplicate rows and numeric ranges were checked before metric generation.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Governance and access</w:t>
      </w:r>
    </w:p>
    <w:p>
      <w:pPr>
        <w:keepLines/>
        <w:spacing w:after="120"/>
      </w:pPr>
      <w:r>
        <w:rPr>
          <w:color w:val="0F172A"/>
        </w:rPr>
        <w:t xml:space="preserve">Classification: Risk</w:t>
      </w:r>
    </w:p>
    <w:p>
      <w:pPr>
        <w:keepLines/>
        <w:spacing w:after="120"/>
      </w:pPr>
      <w:r>
        <w:rPr>
          <w:color w:val="0F172A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Mark as Incomplete; recommend re-enrollment in next cohort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L&amp;D review; verify with manager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  <w:tr>
        <w:trPr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b w:val="false"/>
                <w:bCs w:val="false"/>
                <w:color w:val="0F172A"/>
                <w:sz w:val="18"/>
                <w:szCs w:val="18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20" w:before="280"/>
      </w:pPr>
      <w:r>
        <w:rPr>
          <w:b/>
          <w:bCs/>
          <w:color w:val="0F172A"/>
        </w:rPr>
        <w:t xml:space="preserve">Appendix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Report ID: rpt_8225c113-cc1c-45d8-86d8-fa8d53891b45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Dataset ID: ds_c36f5c50f3e1d0f1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Metrics snapshot ID: mx_f9a6ef0a-131f-432d-82ec-3970778b6ad3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Evidence decision ID: ev_ac432734-efc6-47d7-876e-31fbf579adbf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Governance view ID: gv_362ab3a3-33a6-445e-9b83-12940538ada4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Role view: L&amp;D Manager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 w:val="false"/>
          <w:bCs w:val="false"/>
          <w:color w:val="0F172A"/>
        </w:rPr>
        <w:t xml:space="preserve">Sensitive details: visible</w:t>
      </w:r>
    </w:p>
    <w:p>
      <w:pPr>
        <w:keepLines/>
        <w:spacing w:after="120"/>
      </w:pPr>
      <w:r>
        <w:rPr>
          <w:color w:val="64748B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2026-06-22T15:30:45.841Z</dcterms:created>
  <dcterms:modified xsi:type="dcterms:W3CDTF">2026-06-22T15:30:45.841Z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