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 Cloud Architecture &amp; Services</w:t>
      </w:r>
    </w:p>
    <w:p>
      <w:pPr>
        <w:keepLines/>
        <w:spacing w:after="120"/>
      </w:pPr>
      <w:r>
        <w:rPr>
          <w:color w:val="64748B"/>
        </w:rPr>
        <w:t xml:space="preserve">Course CloudAWS_03_2026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program for the AWS Cloud Architecture &amp; Services course has achieved a high attendance rate of 93.3% and a completion rate of 100%. However, the overall pass rate of 83.3% indicates that some trainees did not meet the expected performance threshold, contributing to a classification of Risk in effectiveness. The average score of 7.32/10 and a feedback rating of 4.71/5 suggest that while the course content is well-received, there are areas for improvement in trainee understanding and retention.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had a total of 12 trainees, with 2 identified as needing additional support due to their performanc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 review of course content may also be beneficial to ensure alignment with trainee needs and improve overall pass rates.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rpt_2102fb9c-3aee-42f9-81ed-ab674ecdca3b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ds_5e791b22b3108880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mx_0cfae1f8-ddf1-4809-817b-76b2c88dbca0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ev_8ab4934f-cc04-4116-8137-3aff3bd39b67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gv_448697ea-4700-40b7-bccb-839311ca3170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 Cloud Architecture &amp; Services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2026-06-22T08:52:36.791Z</dcterms:created>
  <dcterms:modified xsi:type="dcterms:W3CDTF">2026-06-22T08:52:36.791Z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