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80" w:before="0"/>
      </w:pPr>
      <w:r>
        <w:rPr>
          <w:rFonts w:ascii="Arial" w:cs="Arial" w:eastAsia="Arial" w:hAnsi="Arial"/>
          <w:b/>
          <w:bCs/>
          <w:color w:val="0F172A"/>
          <w:sz w:val="54"/>
          <w:szCs w:val="54"/>
        </w:rPr>
        <w:t xml:space="preserve">L&amp;D Training Effectiveness Report - ai agent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Course ai agent | Type full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b/>
                <w:bCs/>
                <w:color w:val="0F172A"/>
                <w:sz w:val="23"/>
                <w:szCs w:val="23"/>
              </w:rPr>
              <w:t xml:space="preserve">Training effectiveness is strong with validated evidence.</w:t>
            </w:r>
          </w:p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color w:val="0F172A"/>
                <w:sz w:val="23"/>
                <w:szCs w:val="23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 Management interpretation: The training program for the AI Agent &amp; LLM Application Development course has achieved a high completion rate of 100% and a commendable attendance rate of 90.4%. However, the overall effectiveness classification is marked as Risk due to the presence of at least one trainee who requires additional support, as indicated by the norm flags.</w:t>
            </w:r>
          </w:p>
        </w:tc>
      </w:tr>
    </w:tbl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Learner attendance across validated sessions.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 is based on attendance &gt;= 70%, separate from pass rate.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achievement against course pass threshold.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Average assessment score from validated records.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Combined trainer and content feedback rating.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attended training hours.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 signal for relative comparison.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Key findings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Strong completion outcome at 100% (Excellent)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Completion is calculated as attendance &gt;= 70%; pass rate is tracked separately at 92.3%.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Learners are completing the required session exposure, and assessment achievement is also healthy.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Overall effectiveness score is 89.47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Attendance 90.4%, pass rate 92.3%, average score 7.88/10.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The selected scope is classified as Risk.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AI Agent &amp; LLM Application Development has an effectiveness score of 89.47 in the selected scope.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2 outstanding trainees met the star learner rule: score &gt;= 9.0 and full attendance.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1 high-priority L&amp;D NORM flag was triggered.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The course had 13 trainees, with a pass rate of 92.3% and an average score of 7.88 out of 10.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support-needed learner cases from 1 to 0 (100% resolution against pass-score and attendance policy) by the next cohort review.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Effectiveness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89.47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Readiness and evidence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conclusion: Allowed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selected courses are completed.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Completed courses require one valid assessment and pass-status row per trainee.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NORM-14 requires at least 60% feedback response rate for valid analysis.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Duplicate rows and numeric ranges were checked before metric generation.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Governance and access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Classification: Risk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Appendix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Report ID: rpt_36fdf47d-836d-40cf-95c2-d43cbc655db3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Dataset ID: ds_10ba125b2e6872a8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Metrics snapshot ID: mx_7839fbf9-3b4b-45ef-a577-582b00cffaeb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Evidence decision ID: ev_f2195f3e-f3e6-475d-8c68-4af183c05b94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Governance view ID: gv_812414de-15fc-4b35-9fe1-ec06dd3812c3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Role view: L&amp;D Manager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Sensitive details: visible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3"/>
        <w:szCs w:val="23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pPr>
      <w:keepNext/>
      <w:spacing w:after="180" w:before="0"/>
    </w:pPr>
    <w:rPr>
      <w:rFonts w:ascii="Arial" w:cs="Arial" w:eastAsia="Arial" w:hAnsi="Arial"/>
      <w:b/>
      <w:bCs/>
      <w:color w:val="0F172A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120" w:line="276"/>
    </w:pPr>
    <w:rPr>
      <w:rFonts w:ascii="Arial" w:cs="Arial" w:eastAsia="Arial" w:hAnsi="Arial"/>
      <w:color w:val="0F172A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ed8437f49c7d10a14cab60614fc8d2d3c788d0.png"/><Relationship Id="rId8" Type="http://schemas.openxmlformats.org/officeDocument/2006/relationships/image" Target="media/6429835a289942c52ca5890979b1a99d4c4eb0c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2026-06-22T18:31:15.255Z</dcterms:created>
  <dcterms:modified xsi:type="dcterms:W3CDTF">2026-06-22T18:31:15.255Z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