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keepNext/>
        <w:keepLines/>
        <w:spacing w:after="180" w:before="0"/>
      </w:pPr>
      <w:r>
        <w:rPr>
          <w:rFonts w:ascii="Arial" w:cs="Arial" w:eastAsia="Arial" w:hAnsi="Arial"/>
          <w:b/>
          <w:bCs/>
          <w:color w:val="0F172A"/>
          <w:sz w:val="54"/>
          <w:szCs w:val="54"/>
        </w:rPr>
        <w:t xml:space="preserve">L&amp;D Training Effectiveness Report - 2026-Q1</w:t>
      </w:r>
    </w:p>
    <w:p>
      <w:pPr>
        <w:keepLines/>
        <w:widowControl/>
        <w:spacing w:after="160" w:line="276"/>
      </w:pPr>
      <w:r>
        <w:rPr>
          <w:rFonts w:ascii="Arial" w:cs="Arial" w:eastAsia="Arial" w:hAnsi="Arial"/>
          <w:color w:val="64748B"/>
          <w:sz w:val="23"/>
          <w:szCs w:val="23"/>
        </w:rPr>
        <w:t xml:space="preserve">Period 2026-Q1</w:t>
      </w:r>
    </w:p>
    <w:p>
      <w:pPr>
        <w:keepLines/>
        <w:widowControl/>
        <w:spacing w:after="160" w:line="276"/>
      </w:pPr>
      <w:r>
        <w:rPr>
          <w:rFonts w:ascii="Arial" w:cs="Arial" w:eastAsia="Arial" w:hAnsi="Arial"/>
          <w:color w:val="64748B"/>
          <w:sz w:val="23"/>
          <w:szCs w:val="23"/>
        </w:rPr>
        <w:t xml:space="preserve">Audience: L&amp;D Manager | Evidence: Passed | Status: Draft</w:t>
      </w:r>
    </w:p>
    <w:p>
      <w:pPr>
        <w:pStyle w:val="Heading1"/>
        <w:keepNext/>
        <w:keepLines/>
        <w:spacing w:after="140" w:before="320"/>
      </w:pPr>
      <w:r>
        <w:rPr>
          <w:rFonts w:ascii="Arial" w:cs="Arial" w:eastAsia="Arial" w:hAnsi="Arial"/>
          <w:b/>
          <w:bCs/>
          <w:color w:val="0F172A"/>
          <w:sz w:val="32"/>
          <w:szCs w:val="32"/>
        </w:rPr>
        <w:t xml:space="preserve">Executive summary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keepLines/>
              <w:widowControl/>
              <w:spacing w:after="160" w:line="276"/>
            </w:pPr>
            <w:r>
              <w:rPr>
                <w:rFonts w:ascii="Arial" w:cs="Arial" w:eastAsia="Arial" w:hAnsi="Arial"/>
                <w:b/>
                <w:bCs/>
                <w:color w:val="0F172A"/>
                <w:sz w:val="23"/>
                <w:szCs w:val="23"/>
              </w:rPr>
              <w:t xml:space="preserve">Training effectiveness is strong with validated evidence.</w:t>
            </w:r>
          </w:p>
          <w:p>
            <w:pPr>
              <w:keepLines/>
              <w:widowControl/>
              <w:spacing w:after="160" w:line="276"/>
            </w:pPr>
            <w:r>
              <w:rPr>
                <w:rFonts w:ascii="Arial" w:cs="Arial" w:eastAsia="Arial" w:hAnsi="Arial"/>
                <w:color w:val="0F172A"/>
                <w:sz w:val="23"/>
                <w:szCs w:val="23"/>
              </w:rPr>
              <w:t xml:space="preserve">The selected scope contains 3 course(s), 3 completed course(s), and 59 trainee-course records. Overall attendance is 92.9%, completion is 98.3%, pass rate is 89.8%, and average score is 7.59/10. Total training hours are 848 and scaled cost is 32. Overall effectiveness classification is Risk.</w:t>
            </w:r>
          </w:p>
        </w:tc>
      </w:tr>
    </w:tbl>
    <w:p>
      <w:pPr>
        <w:keepLines/>
        <w:widowControl/>
        <w:spacing w:after="160" w:line="276"/>
      </w:pPr>
      <w:r>
        <w:rPr>
          <w:rFonts w:ascii="Arial" w:cs="Arial" w:eastAsia="Arial" w:hAnsi="Arial"/>
          <w:color w:val="0F172A"/>
          <w:sz w:val="23"/>
          <w:szCs w:val="23"/>
        </w:rPr>
        <w:t xml:space="preserve">Final conclusion is allowed. Overall classification is Risk.</w:t>
      </w:r>
    </w:p>
    <w:p>
      <w:pPr>
        <w:pStyle w:val="Heading1"/>
        <w:keepNext/>
        <w:keepLines/>
        <w:spacing w:after="140" w:before="320"/>
      </w:pPr>
      <w:r>
        <w:rPr>
          <w:rFonts w:ascii="Arial" w:cs="Arial" w:eastAsia="Arial" w:hAnsi="Arial"/>
          <w:b/>
          <w:bCs/>
          <w:color w:val="0F172A"/>
          <w:sz w:val="32"/>
          <w:szCs w:val="32"/>
        </w:rPr>
        <w:t xml:space="preserve">Performance scorecard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Attendance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92.9%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Target &gt;= 85%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Good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Learner attendance across validated sessions.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Completion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98.3%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Target &gt;= 90%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Excellent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Completion is based on attendance &gt;= 70%, separate from pass rate.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Pass rate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89.8%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Target &gt;= 80%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Good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Assessment achievement against course pass threshold.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Avg score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7.59/10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Threshold 6.5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Good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Average assessment score from validated records.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Satisfaction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4.48/5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Target &gt;= 4.0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Good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Combined trainer and content feedback rating.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Training hours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848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Tracked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Tracked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Total attended training hours.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Cost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32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Scaled cost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Tracked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Scaled cost signal for relative comparison.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ROI proxy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0.0683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Relative KPI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Monitor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Proxy metric using post-training performance delta and scaled cost.</w:t>
            </w:r>
          </w:p>
        </w:tc>
      </w:tr>
    </w:tbl>
    <w:p>
      <w:r>
        <w:br w:type="page"/>
      </w:r>
    </w:p>
    <w:p>
      <w:pPr>
        <w:pStyle w:val="Heading1"/>
        <w:keepNext/>
        <w:keepLines/>
        <w:spacing w:after="140" w:before="320"/>
      </w:pPr>
      <w:r>
        <w:rPr>
          <w:rFonts w:ascii="Arial" w:cs="Arial" w:eastAsia="Arial" w:hAnsi="Arial"/>
          <w:b/>
          <w:bCs/>
          <w:color w:val="0F172A"/>
          <w:sz w:val="32"/>
          <w:szCs w:val="32"/>
        </w:rPr>
        <w:t xml:space="preserve">Visual analytics</w:t>
      </w:r>
    </w:p>
    <w:p>
      <w:pPr>
        <w:keepLines/>
        <w:spacing w:after="220" w:before="80"/>
        <w:jc w:val="center"/>
      </w:pPr>
      <w:r>
        <w:drawing>
          <wp:inline distT="0" distB="0" distL="0" distR="0">
            <wp:extent cx="5905500" cy="2628900"/>
            <wp:effectExtent t="0" r="0" b="0" l="0"/>
            <wp:docPr id="1" name="overall-kpis" descr="Validated performance metrics compared with L&amp;D operating thresholds." title="Overall KPI vs targe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Lines/>
        <w:spacing w:after="220" w:before="80"/>
        <w:jc w:val="center"/>
      </w:pPr>
      <w:r>
        <w:drawing>
          <wp:inline distT="0" distB="0" distL="0" distR="0">
            <wp:extent cx="5905500" cy="2790825"/>
            <wp:effectExtent t="0" r="0" b="0" l="0"/>
            <wp:docPr id="1" name="course-rate-mix" descr="Attendance, completion, and pass rate by course." title="Course rate mi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79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Lines/>
        <w:spacing w:after="220" w:before="80"/>
        <w:jc w:val="center"/>
      </w:pPr>
      <w:r>
        <w:drawing>
          <wp:inline distT="0" distB="0" distL="0" distR="0">
            <wp:extent cx="5905500" cy="2628900"/>
            <wp:effectExtent t="0" r="0" b="0" l="0"/>
            <wp:docPr id="1" name="course-effectiveness" descr="Effectiveness score by course, using the validated L&amp;D scoring model." title="Course effectiveness comparis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Lines/>
        <w:spacing w:after="220" w:before="80"/>
        <w:jc w:val="center"/>
      </w:pPr>
      <w:r>
        <w:drawing>
          <wp:inline distT="0" distB="0" distL="0" distR="0">
            <wp:extent cx="5905500" cy="2952750"/>
            <wp:effectExtent t="0" r="0" b="0" l="0"/>
            <wp:docPr id="1" name="norm-flags" descr="NORM rule triggers grouped by business priority." title="Governance flags by priorit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  <w:keepNext/>
        <w:keepLines/>
        <w:spacing w:after="140" w:before="320"/>
      </w:pPr>
      <w:r>
        <w:rPr>
          <w:rFonts w:ascii="Arial" w:cs="Arial" w:eastAsia="Arial" w:hAnsi="Arial"/>
          <w:b/>
          <w:bCs/>
          <w:color w:val="0F172A"/>
          <w:sz w:val="32"/>
          <w:szCs w:val="32"/>
        </w:rPr>
        <w:t xml:space="preserve">Key findings</w:t>
      </w:r>
    </w:p>
    <w:p>
      <w:pPr>
        <w:pStyle w:val="ListParagraph"/>
        <w:keepLines/>
        <w:widowControl/>
        <w:numPr>
          <w:ilvl w:val="0"/>
          <w:numId w:val="1"/>
        </w:numPr>
        <w:spacing w:after="120" w:line="276"/>
        <w:ind w:left="360" w:hanging="180"/>
      </w:pPr>
      <w:r>
        <w:rPr>
          <w:rFonts w:ascii="Arial" w:cs="Arial" w:eastAsia="Arial" w:hAnsi="Arial"/>
          <w:b/>
          <w:bCs/>
          <w:color w:val="0F172A"/>
          <w:sz w:val="23"/>
          <w:szCs w:val="23"/>
        </w:rPr>
        <w:t xml:space="preserve">Strong completion outcome at 98.3% (Excellent)</w:t>
      </w:r>
    </w:p>
    <w:p>
      <w:pPr>
        <w:keepLines/>
        <w:widowControl/>
        <w:spacing w:after="160" w:line="276"/>
        <w:ind w:left="360"/>
      </w:pPr>
      <w:r>
        <w:rPr>
          <w:rFonts w:ascii="Arial" w:cs="Arial" w:eastAsia="Arial" w:hAnsi="Arial"/>
          <w:color w:val="64748B"/>
          <w:sz w:val="23"/>
          <w:szCs w:val="23"/>
        </w:rPr>
        <w:t xml:space="preserve">Evidence: Completion is calculated as attendance &gt;= 70%; pass rate is tracked separately at 89.8%.</w:t>
      </w:r>
    </w:p>
    <w:p>
      <w:pPr>
        <w:keepLines/>
        <w:widowControl/>
        <w:spacing w:after="160" w:line="276"/>
        <w:ind w:left="360"/>
      </w:pPr>
      <w:r>
        <w:rPr>
          <w:rFonts w:ascii="Arial" w:cs="Arial" w:eastAsia="Arial" w:hAnsi="Arial"/>
          <w:color w:val="0F172A"/>
          <w:sz w:val="23"/>
          <w:szCs w:val="23"/>
        </w:rPr>
        <w:t xml:space="preserve">Implication: Learners are completing the required session exposure, and assessment achievement is also healthy.</w:t>
      </w:r>
    </w:p>
    <w:p>
      <w:pPr>
        <w:pStyle w:val="ListParagraph"/>
        <w:keepLines/>
        <w:widowControl/>
        <w:numPr>
          <w:ilvl w:val="0"/>
          <w:numId w:val="1"/>
        </w:numPr>
        <w:spacing w:after="120" w:line="276"/>
        <w:ind w:left="360" w:hanging="180"/>
      </w:pPr>
      <w:r>
        <w:rPr>
          <w:rFonts w:ascii="Arial" w:cs="Arial" w:eastAsia="Arial" w:hAnsi="Arial"/>
          <w:b/>
          <w:bCs/>
          <w:color w:val="0F172A"/>
          <w:sz w:val="23"/>
          <w:szCs w:val="23"/>
        </w:rPr>
        <w:t xml:space="preserve">Overall effectiveness score is 88.23 (Risk)</w:t>
      </w:r>
    </w:p>
    <w:p>
      <w:pPr>
        <w:keepLines/>
        <w:widowControl/>
        <w:spacing w:after="160" w:line="276"/>
        <w:ind w:left="360"/>
      </w:pPr>
      <w:r>
        <w:rPr>
          <w:rFonts w:ascii="Arial" w:cs="Arial" w:eastAsia="Arial" w:hAnsi="Arial"/>
          <w:color w:val="64748B"/>
          <w:sz w:val="23"/>
          <w:szCs w:val="23"/>
        </w:rPr>
        <w:t xml:space="preserve">Evidence: Attendance 92.9%, pass rate 89.8%, average score 7.59/10.</w:t>
      </w:r>
    </w:p>
    <w:p>
      <w:pPr>
        <w:keepLines/>
        <w:widowControl/>
        <w:spacing w:after="160" w:line="276"/>
        <w:ind w:left="360"/>
      </w:pPr>
      <w:r>
        <w:rPr>
          <w:rFonts w:ascii="Arial" w:cs="Arial" w:eastAsia="Arial" w:hAnsi="Arial"/>
          <w:color w:val="0F172A"/>
          <w:sz w:val="23"/>
          <w:szCs w:val="23"/>
        </w:rPr>
        <w:t xml:space="preserve">Implication: The selected scope is classified as Risk.</w:t>
      </w:r>
    </w:p>
    <w:p>
      <w:pPr>
        <w:pStyle w:val="ListParagraph"/>
        <w:keepLines/>
        <w:widowControl/>
        <w:numPr>
          <w:ilvl w:val="0"/>
          <w:numId w:val="1"/>
        </w:numPr>
        <w:spacing w:after="120" w:line="276"/>
        <w:ind w:left="360" w:hanging="180"/>
      </w:pPr>
      <w:r>
        <w:rPr>
          <w:rFonts w:ascii="Arial" w:cs="Arial" w:eastAsia="Arial" w:hAnsi="Arial"/>
          <w:b/>
          <w:bCs/>
          <w:color w:val="0F172A"/>
          <w:sz w:val="23"/>
          <w:szCs w:val="23"/>
        </w:rPr>
        <w:t xml:space="preserve">DevOps Fundamentals: CI/CD, K8s, Monitoring has the strongest effectiveness score (92.28) in the selected scop (Good)</w:t>
      </w:r>
    </w:p>
    <w:p>
      <w:pPr>
        <w:keepLines/>
        <w:widowControl/>
        <w:spacing w:after="160" w:line="276"/>
        <w:ind w:left="360"/>
      </w:pPr>
      <w:r>
        <w:rPr>
          <w:rFonts w:ascii="Arial" w:cs="Arial" w:eastAsia="Arial" w:hAnsi="Arial"/>
          <w:color w:val="64748B"/>
          <w:sz w:val="23"/>
          <w:szCs w:val="23"/>
        </w:rPr>
        <w:t xml:space="preserve">Evidence: Supported by validated metrics, evidence gate, and L&amp;D NORM checks.</w:t>
      </w:r>
    </w:p>
    <w:p>
      <w:pPr>
        <w:keepLines/>
        <w:widowControl/>
        <w:spacing w:after="160" w:line="276"/>
        <w:ind w:left="360"/>
      </w:pPr>
      <w:r>
        <w:rPr>
          <w:rFonts w:ascii="Arial" w:cs="Arial" w:eastAsia="Arial" w:hAnsi="Arial"/>
          <w:color w:val="0F172A"/>
          <w:sz w:val="23"/>
          <w:szCs w:val="23"/>
        </w:rPr>
        <w:t xml:space="preserve">Implication: Use this signal to prioritize follow-up actions and stakeholder communication.</w:t>
      </w:r>
    </w:p>
    <w:p>
      <w:pPr>
        <w:pStyle w:val="ListParagraph"/>
        <w:keepLines/>
        <w:widowControl/>
        <w:numPr>
          <w:ilvl w:val="0"/>
          <w:numId w:val="1"/>
        </w:numPr>
        <w:spacing w:after="120" w:line="276"/>
        <w:ind w:left="360" w:hanging="180"/>
      </w:pPr>
      <w:r>
        <w:rPr>
          <w:rFonts w:ascii="Arial" w:cs="Arial" w:eastAsia="Arial" w:hAnsi="Arial"/>
          <w:b/>
          <w:bCs/>
          <w:color w:val="0F172A"/>
          <w:sz w:val="23"/>
          <w:szCs w:val="23"/>
        </w:rPr>
        <w:t xml:space="preserve">AWS Cloud Architecture &amp; Services needs attention with effectiveness score 85.76, attendance 93.3%, and pass r (Monitor)</w:t>
      </w:r>
    </w:p>
    <w:p>
      <w:pPr>
        <w:keepLines/>
        <w:widowControl/>
        <w:spacing w:after="160" w:line="276"/>
        <w:ind w:left="360"/>
      </w:pPr>
      <w:r>
        <w:rPr>
          <w:rFonts w:ascii="Arial" w:cs="Arial" w:eastAsia="Arial" w:hAnsi="Arial"/>
          <w:color w:val="64748B"/>
          <w:sz w:val="23"/>
          <w:szCs w:val="23"/>
        </w:rPr>
        <w:t xml:space="preserve">Evidence: Supported by validated metrics, evidence gate, and L&amp;D NORM checks.</w:t>
      </w:r>
    </w:p>
    <w:p>
      <w:pPr>
        <w:keepLines/>
        <w:widowControl/>
        <w:spacing w:after="160" w:line="276"/>
        <w:ind w:left="360"/>
      </w:pPr>
      <w:r>
        <w:rPr>
          <w:rFonts w:ascii="Arial" w:cs="Arial" w:eastAsia="Arial" w:hAnsi="Arial"/>
          <w:color w:val="0F172A"/>
          <w:sz w:val="23"/>
          <w:szCs w:val="23"/>
        </w:rPr>
        <w:t xml:space="preserve">Implication: Use this signal to prioritize follow-up actions and stakeholder communication.</w:t>
      </w:r>
    </w:p>
    <w:p>
      <w:pPr>
        <w:pStyle w:val="ListParagraph"/>
        <w:keepLines/>
        <w:widowControl/>
        <w:numPr>
          <w:ilvl w:val="0"/>
          <w:numId w:val="1"/>
        </w:numPr>
        <w:spacing w:after="120" w:line="276"/>
        <w:ind w:left="360" w:hanging="180"/>
      </w:pPr>
      <w:r>
        <w:rPr>
          <w:rFonts w:ascii="Arial" w:cs="Arial" w:eastAsia="Arial" w:hAnsi="Arial"/>
          <w:b/>
          <w:bCs/>
          <w:color w:val="0F172A"/>
          <w:sz w:val="23"/>
          <w:szCs w:val="23"/>
        </w:rPr>
        <w:t xml:space="preserve">8 outstanding trainees met the star learner rule: score &gt;= 9.0 and full attendance. (Good)</w:t>
      </w:r>
    </w:p>
    <w:p>
      <w:pPr>
        <w:keepLines/>
        <w:widowControl/>
        <w:spacing w:after="160" w:line="276"/>
        <w:ind w:left="360"/>
      </w:pPr>
      <w:r>
        <w:rPr>
          <w:rFonts w:ascii="Arial" w:cs="Arial" w:eastAsia="Arial" w:hAnsi="Arial"/>
          <w:color w:val="64748B"/>
          <w:sz w:val="23"/>
          <w:szCs w:val="23"/>
        </w:rPr>
        <w:t xml:space="preserve">Evidence: Supported by validated metrics, evidence gate, and L&amp;D NORM checks.</w:t>
      </w:r>
    </w:p>
    <w:p>
      <w:pPr>
        <w:keepLines/>
        <w:widowControl/>
        <w:spacing w:after="160" w:line="276"/>
        <w:ind w:left="360"/>
      </w:pPr>
      <w:r>
        <w:rPr>
          <w:rFonts w:ascii="Arial" w:cs="Arial" w:eastAsia="Arial" w:hAnsi="Arial"/>
          <w:color w:val="0F172A"/>
          <w:sz w:val="23"/>
          <w:szCs w:val="23"/>
        </w:rPr>
        <w:t xml:space="preserve">Implication: Use this signal to prioritize follow-up actions and stakeholder communication.</w:t>
      </w:r>
    </w:p>
    <w:p>
      <w:pPr>
        <w:pStyle w:val="ListParagraph"/>
        <w:keepLines/>
        <w:widowControl/>
        <w:numPr>
          <w:ilvl w:val="0"/>
          <w:numId w:val="1"/>
        </w:numPr>
        <w:spacing w:after="120" w:line="276"/>
        <w:ind w:left="360" w:hanging="180"/>
      </w:pPr>
      <w:r>
        <w:rPr>
          <w:rFonts w:ascii="Arial" w:cs="Arial" w:eastAsia="Arial" w:hAnsi="Arial"/>
          <w:b/>
          <w:bCs/>
          <w:color w:val="0F172A"/>
          <w:sz w:val="23"/>
          <w:szCs w:val="23"/>
        </w:rPr>
        <w:t xml:space="preserve">2 course groups contained learners who need support based on score or attendance policy. (Monitor)</w:t>
      </w:r>
    </w:p>
    <w:p>
      <w:pPr>
        <w:keepLines/>
        <w:widowControl/>
        <w:spacing w:after="160" w:line="276"/>
        <w:ind w:left="360"/>
      </w:pPr>
      <w:r>
        <w:rPr>
          <w:rFonts w:ascii="Arial" w:cs="Arial" w:eastAsia="Arial" w:hAnsi="Arial"/>
          <w:color w:val="64748B"/>
          <w:sz w:val="23"/>
          <w:szCs w:val="23"/>
        </w:rPr>
        <w:t xml:space="preserve">Evidence: Supported by validated metrics, evidence gate, and L&amp;D NORM checks.</w:t>
      </w:r>
    </w:p>
    <w:p>
      <w:pPr>
        <w:keepLines/>
        <w:widowControl/>
        <w:spacing w:after="160" w:line="276"/>
        <w:ind w:left="360"/>
      </w:pPr>
      <w:r>
        <w:rPr>
          <w:rFonts w:ascii="Arial" w:cs="Arial" w:eastAsia="Arial" w:hAnsi="Arial"/>
          <w:color w:val="0F172A"/>
          <w:sz w:val="23"/>
          <w:szCs w:val="23"/>
        </w:rPr>
        <w:t xml:space="preserve">Implication: Use this signal to prioritize follow-up actions and stakeholder communication.</w:t>
      </w:r>
    </w:p>
    <w:p>
      <w:pPr>
        <w:pStyle w:val="Heading1"/>
        <w:keepNext/>
        <w:keepLines/>
        <w:spacing w:after="140" w:before="320"/>
      </w:pPr>
      <w:r>
        <w:rPr>
          <w:rFonts w:ascii="Arial" w:cs="Arial" w:eastAsia="Arial" w:hAnsi="Arial"/>
          <w:b/>
          <w:bCs/>
          <w:color w:val="0F172A"/>
          <w:sz w:val="32"/>
          <w:szCs w:val="32"/>
        </w:rPr>
        <w:t xml:space="preserve">Recommendations and owners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outcome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L&amp;D Manager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Flag for coaching; assign buddy or practice resources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Maintain AWS Cloud Architecture &amp; Services average score at or above the 6.5/10 target (current 7.32/10) in the next cohort.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L&amp;D Manager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Mark as Incomplete; recommend re-enrollment in next cohort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Maintain AWS Cloud Architecture &amp; Services average score at or above the 6.5/10 target (current 7.32/10) in the next cohort.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L&amp;D Manager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Assign a coaching owner, buddy support, and targeted practice resources for the flagged learner.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Maintain AWS Cloud Architecture &amp; Services average score at or above the 6.5/10 target (current 7.32/10) in the next cohort.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L&amp;D Manager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Mark incomplete learner records for review and schedule re-enrollment in the next suitable cohort.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Maintain AWS Cloud Architecture &amp; Services average score at or above the 6.5/10 target (current 7.32/10) in the next cohort.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Team Manager + L&amp;D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Assign a coaching owner for support-needed learners and review attendance issues with direct managers.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Maintain Automation Testing with Playwright attendance at or above the 85% target (current 91.9%) in the next cohort.</w:t>
            </w:r>
          </w:p>
        </w:tc>
      </w:tr>
    </w:tbl>
    <w:p>
      <w:pPr>
        <w:pStyle w:val="Heading1"/>
        <w:keepNext/>
        <w:keepLines/>
        <w:spacing w:after="140" w:before="320"/>
      </w:pPr>
      <w:r>
        <w:rPr>
          <w:rFonts w:ascii="Arial" w:cs="Arial" w:eastAsia="Arial" w:hAnsi="Arial"/>
          <w:b/>
          <w:bCs/>
          <w:color w:val="0F172A"/>
          <w:sz w:val="32"/>
          <w:szCs w:val="32"/>
        </w:rPr>
        <w:t xml:space="preserve">Course performance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Course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Learners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Attendance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Completion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Pass rate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Score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Effectiveness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Automation Testing with Playwright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37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91.9%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97.3%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89.2%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7.59/10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86.66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DevOps Fundamentals: CI/CD, K8s, Monitoring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10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96%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100%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100%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7.89/10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92.28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AWS Cloud Architecture &amp; Services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12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93.3%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100%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83.3%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7.32/10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85.76</w:t>
            </w:r>
          </w:p>
        </w:tc>
      </w:tr>
    </w:tbl>
    <w:p>
      <w:pPr>
        <w:pStyle w:val="Heading1"/>
        <w:keepNext/>
        <w:keepLines/>
        <w:spacing w:after="140" w:before="320"/>
      </w:pPr>
      <w:r>
        <w:rPr>
          <w:rFonts w:ascii="Arial" w:cs="Arial" w:eastAsia="Arial" w:hAnsi="Arial"/>
          <w:b/>
          <w:bCs/>
          <w:color w:val="0F172A"/>
          <w:sz w:val="32"/>
          <w:szCs w:val="32"/>
        </w:rPr>
        <w:t xml:space="preserve">Readiness and evidence</w:t>
      </w:r>
    </w:p>
    <w:p>
      <w:pPr>
        <w:keepLines/>
        <w:widowControl/>
        <w:spacing w:after="160" w:line="276"/>
      </w:pPr>
      <w:r>
        <w:rPr>
          <w:rFonts w:ascii="Arial" w:cs="Arial" w:eastAsia="Arial" w:hAnsi="Arial"/>
          <w:color w:val="0F172A"/>
          <w:sz w:val="23"/>
          <w:szCs w:val="23"/>
        </w:rPr>
        <w:t xml:space="preserve">Final conclusion: Allowed</w:t>
      </w:r>
    </w:p>
    <w:p>
      <w:pPr>
        <w:keepLines/>
        <w:widowControl/>
        <w:spacing w:after="160" w:line="276"/>
      </w:pPr>
      <w:r>
        <w:rPr>
          <w:rFonts w:ascii="Arial" w:cs="Arial" w:eastAsia="Arial" w:hAnsi="Arial"/>
          <w:color w:val="0F172A"/>
          <w:sz w:val="23"/>
          <w:szCs w:val="23"/>
        </w:rPr>
        <w:t xml:space="preserve">Missing evidence: 0; warnings: 0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Check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Source availability and required columns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Required sheets and columns were mapped from Teams, OneDrive, Forms, KPI, Rules and Template sources.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Course status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All selected courses are completed.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Attendance completeness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Expected attendance rows are trainee count x total sessions. Late is retained for metrics as partial attendance.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Assessment completeness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Completed courses require one valid assessment and pass-status row per trainee.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Feedback completeness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NORM-14 requires at least 60% feedback response rate for valid analysis.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Row-level data quality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Duplicate rows and numeric ranges were checked before metric generation.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Consistency: course ID and pass-status logic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Cross-source course IDs and pass-status logic were checked against the selected course catalog.</w:t>
            </w:r>
          </w:p>
        </w:tc>
      </w:tr>
    </w:tbl>
    <w:p>
      <w:pPr>
        <w:pStyle w:val="Heading1"/>
        <w:keepNext/>
        <w:keepLines/>
        <w:spacing w:after="140" w:before="320"/>
      </w:pPr>
      <w:r>
        <w:rPr>
          <w:rFonts w:ascii="Arial" w:cs="Arial" w:eastAsia="Arial" w:hAnsi="Arial"/>
          <w:b/>
          <w:bCs/>
          <w:color w:val="0F172A"/>
          <w:sz w:val="32"/>
          <w:szCs w:val="32"/>
        </w:rPr>
        <w:t xml:space="preserve">Governance and access</w:t>
      </w:r>
    </w:p>
    <w:p>
      <w:pPr>
        <w:keepLines/>
        <w:widowControl/>
        <w:spacing w:after="160" w:line="276"/>
      </w:pPr>
      <w:r>
        <w:rPr>
          <w:rFonts w:ascii="Arial" w:cs="Arial" w:eastAsia="Arial" w:hAnsi="Arial"/>
          <w:color w:val="0F172A"/>
          <w:sz w:val="23"/>
          <w:szCs w:val="23"/>
        </w:rPr>
        <w:t xml:space="preserve">Classification: Risk</w:t>
      </w:r>
    </w:p>
    <w:p>
      <w:pPr>
        <w:keepLines/>
        <w:widowControl/>
        <w:spacing w:after="160" w:line="276"/>
      </w:pPr>
      <w:r>
        <w:rPr>
          <w:rFonts w:ascii="Arial" w:cs="Arial" w:eastAsia="Arial" w:hAnsi="Arial"/>
          <w:color w:val="0F172A"/>
          <w:sz w:val="23"/>
          <w:szCs w:val="23"/>
        </w:rPr>
        <w:t xml:space="preserve">Sensitive details: Visible; raw appendix: Allowed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Rule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Message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NORM-07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Trainee needs 1:1 support.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Flag for coaching; assign buddy or practice resources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NORM-07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Trainee needs 1:1 support.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Flag for coaching; assign buddy or practice resources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NORM-05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Trainee has zero score or missing assessment.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Mark as Incomplete; recommend re-enrollment in next cohort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NORM-07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Trainee needs 1:1 support.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Flag for coaching; assign buddy or practice resources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NORM-04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Medium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Trainee passed with low attendance.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Flag for L&amp;D review; verify with manager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NORM-07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Trainee needs 1:1 support.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Flag for coaching; assign buddy or practice resources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NORM-07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Trainee needs 1:1 support.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Flag for coaching; assign buddy or practice resources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NORM-07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Trainee needs 1:1 support.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Flag for coaching; assign buddy or practice resources</w:t>
            </w:r>
          </w:p>
        </w:tc>
      </w:tr>
    </w:tbl>
    <w:p>
      <w:pPr>
        <w:pStyle w:val="Heading1"/>
        <w:keepNext/>
        <w:keepLines/>
        <w:spacing w:after="140" w:before="320"/>
      </w:pPr>
      <w:r>
        <w:rPr>
          <w:rFonts w:ascii="Arial" w:cs="Arial" w:eastAsia="Arial" w:hAnsi="Arial"/>
          <w:b/>
          <w:bCs/>
          <w:color w:val="0F172A"/>
          <w:sz w:val="32"/>
          <w:szCs w:val="32"/>
        </w:rPr>
        <w:t xml:space="preserve">Appendix</w:t>
      </w:r>
    </w:p>
    <w:p>
      <w:pPr>
        <w:pStyle w:val="ListParagraph"/>
        <w:keepLines/>
        <w:widowControl/>
        <w:numPr>
          <w:ilvl w:val="0"/>
          <w:numId w:val="1"/>
        </w:numPr>
        <w:spacing w:after="120" w:line="276"/>
        <w:ind w:left="360" w:hanging="180"/>
      </w:pPr>
      <w:r>
        <w:rPr>
          <w:rFonts w:ascii="Arial" w:cs="Arial" w:eastAsia="Arial" w:hAnsi="Arial"/>
          <w:b w:val="false"/>
          <w:bCs w:val="false"/>
          <w:color w:val="0F172A"/>
          <w:sz w:val="23"/>
          <w:szCs w:val="23"/>
        </w:rPr>
        <w:t xml:space="preserve">Report ID: rpt_b563ded5-25d9-47ce-8bb0-8d225185a0f1</w:t>
      </w:r>
    </w:p>
    <w:p>
      <w:pPr>
        <w:pStyle w:val="ListParagraph"/>
        <w:keepLines/>
        <w:widowControl/>
        <w:numPr>
          <w:ilvl w:val="0"/>
          <w:numId w:val="1"/>
        </w:numPr>
        <w:spacing w:after="120" w:line="276"/>
        <w:ind w:left="360" w:hanging="180"/>
      </w:pPr>
      <w:r>
        <w:rPr>
          <w:rFonts w:ascii="Arial" w:cs="Arial" w:eastAsia="Arial" w:hAnsi="Arial"/>
          <w:b w:val="false"/>
          <w:bCs w:val="false"/>
          <w:color w:val="0F172A"/>
          <w:sz w:val="23"/>
          <w:szCs w:val="23"/>
        </w:rPr>
        <w:t xml:space="preserve">Dataset ID: ds_6270bd1984b98e30</w:t>
      </w:r>
    </w:p>
    <w:p>
      <w:pPr>
        <w:pStyle w:val="ListParagraph"/>
        <w:keepLines/>
        <w:widowControl/>
        <w:numPr>
          <w:ilvl w:val="0"/>
          <w:numId w:val="1"/>
        </w:numPr>
        <w:spacing w:after="120" w:line="276"/>
        <w:ind w:left="360" w:hanging="180"/>
      </w:pPr>
      <w:r>
        <w:rPr>
          <w:rFonts w:ascii="Arial" w:cs="Arial" w:eastAsia="Arial" w:hAnsi="Arial"/>
          <w:b w:val="false"/>
          <w:bCs w:val="false"/>
          <w:color w:val="0F172A"/>
          <w:sz w:val="23"/>
          <w:szCs w:val="23"/>
        </w:rPr>
        <w:t xml:space="preserve">Metrics snapshot ID: mx_0998c126-1180-4582-8950-95d5e6fa0a3f</w:t>
      </w:r>
    </w:p>
    <w:p>
      <w:pPr>
        <w:pStyle w:val="ListParagraph"/>
        <w:keepLines/>
        <w:widowControl/>
        <w:numPr>
          <w:ilvl w:val="0"/>
          <w:numId w:val="1"/>
        </w:numPr>
        <w:spacing w:after="120" w:line="276"/>
        <w:ind w:left="360" w:hanging="180"/>
      </w:pPr>
      <w:r>
        <w:rPr>
          <w:rFonts w:ascii="Arial" w:cs="Arial" w:eastAsia="Arial" w:hAnsi="Arial"/>
          <w:b w:val="false"/>
          <w:bCs w:val="false"/>
          <w:color w:val="0F172A"/>
          <w:sz w:val="23"/>
          <w:szCs w:val="23"/>
        </w:rPr>
        <w:t xml:space="preserve">Evidence decision ID: ev_73d0ffb8-d7e6-41fd-902a-bcc148718e90</w:t>
      </w:r>
    </w:p>
    <w:p>
      <w:pPr>
        <w:pStyle w:val="ListParagraph"/>
        <w:keepLines/>
        <w:widowControl/>
        <w:numPr>
          <w:ilvl w:val="0"/>
          <w:numId w:val="1"/>
        </w:numPr>
        <w:spacing w:after="120" w:line="276"/>
        <w:ind w:left="360" w:hanging="180"/>
      </w:pPr>
      <w:r>
        <w:rPr>
          <w:rFonts w:ascii="Arial" w:cs="Arial" w:eastAsia="Arial" w:hAnsi="Arial"/>
          <w:b w:val="false"/>
          <w:bCs w:val="false"/>
          <w:color w:val="0F172A"/>
          <w:sz w:val="23"/>
          <w:szCs w:val="23"/>
        </w:rPr>
        <w:t xml:space="preserve">Governance view ID: gv_8bd7c245-5c5d-4a54-a278-abec68a69bac</w:t>
      </w:r>
    </w:p>
    <w:p>
      <w:pPr>
        <w:pStyle w:val="ListParagraph"/>
        <w:keepLines/>
        <w:widowControl/>
        <w:numPr>
          <w:ilvl w:val="0"/>
          <w:numId w:val="1"/>
        </w:numPr>
        <w:spacing w:after="120" w:line="276"/>
        <w:ind w:left="360" w:hanging="180"/>
      </w:pPr>
      <w:r>
        <w:rPr>
          <w:rFonts w:ascii="Arial" w:cs="Arial" w:eastAsia="Arial" w:hAnsi="Arial"/>
          <w:b w:val="false"/>
          <w:bCs w:val="false"/>
          <w:color w:val="0F172A"/>
          <w:sz w:val="23"/>
          <w:szCs w:val="23"/>
        </w:rPr>
        <w:t xml:space="preserve">Role view: L&amp;D Manager</w:t>
      </w:r>
    </w:p>
    <w:p>
      <w:pPr>
        <w:pStyle w:val="ListParagraph"/>
        <w:keepLines/>
        <w:widowControl/>
        <w:numPr>
          <w:ilvl w:val="0"/>
          <w:numId w:val="1"/>
        </w:numPr>
        <w:spacing w:after="120" w:line="276"/>
        <w:ind w:left="360" w:hanging="180"/>
      </w:pPr>
      <w:r>
        <w:rPr>
          <w:rFonts w:ascii="Arial" w:cs="Arial" w:eastAsia="Arial" w:hAnsi="Arial"/>
          <w:b w:val="false"/>
          <w:bCs w:val="false"/>
          <w:color w:val="0F172A"/>
          <w:sz w:val="23"/>
          <w:szCs w:val="23"/>
        </w:rPr>
        <w:t xml:space="preserve">Sensitive details: visible</w:t>
      </w:r>
    </w:p>
    <w:p>
      <w:pPr>
        <w:keepLines/>
        <w:widowControl/>
        <w:spacing w:after="160" w:line="276"/>
      </w:pPr>
      <w:r>
        <w:rPr>
          <w:rFonts w:ascii="Arial" w:cs="Arial" w:eastAsia="Arial" w:hAnsi="Arial"/>
          <w:color w:val="64748B"/>
          <w:sz w:val="23"/>
          <w:szCs w:val="23"/>
        </w:rPr>
        <w:t xml:space="preserve">Deterministic fallback used. OPENAI_API_KEY is not configured or LD_REPORTING_USE_LLM=false.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0F172A"/>
        <w:sz w:val="23"/>
        <w:szCs w:val="23"/>
      </w:rPr>
    </w:rPrDefault>
    <w:pPrDefault>
      <w:pPr>
        <w:spacing w:line="276"/>
      </w:pPr>
    </w:pPrDefault>
  </w:docDefaults>
  <w:style w:type="paragraph" w:styleId="Title">
    <w:name w:val="Title"/>
    <w:basedOn w:val="Normal"/>
    <w:next w:val="Normal"/>
    <w:qFormat/>
    <w:pPr>
      <w:keepNext/>
      <w:spacing w:after="180" w:before="0"/>
    </w:pPr>
    <w:rPr>
      <w:rFonts w:ascii="Arial" w:cs="Arial" w:eastAsia="Arial" w:hAnsi="Arial"/>
      <w:b/>
      <w:bCs/>
      <w:color w:val="0F172A"/>
      <w:sz w:val="54"/>
      <w:szCs w:val="54"/>
    </w:rPr>
  </w:style>
  <w:style w:type="paragraph" w:styleId="Heading1">
    <w:name w:val="Heading 1"/>
    <w:basedOn w:val="Normal"/>
    <w:next w:val="Normal"/>
    <w:qFormat/>
    <w:pPr>
      <w:keepNext/>
      <w:spacing w:after="140" w:before="320"/>
    </w:pPr>
    <w:rPr>
      <w:rFonts w:ascii="Arial" w:cs="Arial" w:eastAsia="Arial" w:hAnsi="Arial"/>
      <w:b/>
      <w:bCs/>
      <w:color w:val="0F172A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  <w:pPr>
      <w:spacing w:after="120" w:line="276"/>
    </w:pPr>
    <w:rPr>
      <w:rFonts w:ascii="Arial" w:cs="Arial" w:eastAsia="Arial" w:hAnsi="Arial"/>
      <w:color w:val="0F172A"/>
      <w:sz w:val="23"/>
      <w:szCs w:val="23"/>
    </w:r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b5da624ba2e8a25a8a86ac163cb8b1f4f4ad06bf.png"/><Relationship Id="rId8" Type="http://schemas.openxmlformats.org/officeDocument/2006/relationships/image" Target="media/1ddd429748ab2e788d6bfb99c0e3a0a725f0f9fd.png"/><Relationship Id="rId9" Type="http://schemas.openxmlformats.org/officeDocument/2006/relationships/image" Target="media/667bddb7417f552f9a0bfebc88171a4f32383085.png"/><Relationship Id="rId10" Type="http://schemas.openxmlformats.org/officeDocument/2006/relationships/image" Target="media/137fa4dd59feb6e8baf7f11dc8c6a63f02c6a653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L&amp;D Training Effectiveness Report - 2026-Q1</dc:title>
  <dc:creator>SETA L&amp;D Reporting Agent</dc:creator>
  <dc:description>Training effectiveness is strong with validated evidence.</dc:description>
  <cp:lastModifiedBy>Un-named</cp:lastModifiedBy>
  <cp:revision>1</cp:revision>
  <dcterms:created xsi:type="dcterms:W3CDTF">2026-06-22T17:49:03.301Z</dcterms:created>
  <dcterms:modified xsi:type="dcterms:W3CDTF">2026-06-22T17:49:03.301Z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