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keepLines/>
        <w:spacing w:after="180" w:before="0"/>
      </w:pPr>
      <w:r>
        <w:rPr>
          <w:rFonts w:ascii="Arial" w:cs="Arial" w:eastAsia="Arial" w:hAnsi="Arial"/>
          <w:b/>
          <w:bCs/>
          <w:color w:val="0F172A"/>
          <w:sz w:val="54"/>
          <w:szCs w:val="54"/>
        </w:rPr>
        <w:t xml:space="preserve">L&amp;D Training Effectiveness Report - 2026-Q1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Period 2026-Q1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Audience: L&amp;D Manager | Evidence: Passed | Status: Draft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Executive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b/>
                <w:bCs/>
                <w:color w:val="0F172A"/>
                <w:sz w:val="23"/>
                <w:szCs w:val="23"/>
              </w:rPr>
              <w:t xml:space="preserve">Training effectiveness is strong with validated evidence.</w:t>
            </w:r>
          </w:p>
          <w:p>
            <w:pPr>
              <w:keepLines/>
              <w:widowControl/>
              <w:spacing w:after="160" w:line="276"/>
            </w:pPr>
            <w:r>
              <w:rPr>
                <w:rFonts w:ascii="Arial" w:cs="Arial" w:eastAsia="Arial" w:hAnsi="Arial"/>
                <w:color w:val="0F172A"/>
                <w:sz w:val="23"/>
                <w:szCs w:val="23"/>
              </w:rPr>
              <w:t xml:space="preserve">The selected scope contains 3 course(s), 3 completed course(s), and 59 trainee-course records. Overall attendance is 92.9%, completion is 98.3%, pass rate is 89.8%, and average score is 7.59/10. Total training hours are 848 and scaled cost is 32. Overall effectiveness classification is Risk.</w:t>
            </w:r>
          </w:p>
        </w:tc>
      </w:tr>
    </w:tbl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 is allowed. Overall classification is Risk.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Performance scorecard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85%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Learner attendance across validated sessions.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98.3%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90%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Excellent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Completion is based on attendance &gt;= 70%, separate from pass rate.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89.8%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80%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achievement against course pass threshold.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Avg 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Threshold 6.5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Average assessment score from validated records.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Satisfaction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4.48/5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Target &gt;= 4.0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Good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Combined trainer and content feedback rating.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Training hours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848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Total attended training hours.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Tracked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Scaled cost signal for relative comparison.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ROI proxy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0.0683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Relative KPI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Monitor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Proxy metric using post-training performance delta and scaled cost.</w:t>
            </w:r>
          </w:p>
        </w:tc>
      </w:tr>
    </w:tbl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Visual analytics</w:t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overall-kpis" descr="Validated performance metrics compared with L&amp;D operating thresholds." title="Overall KPI vs targ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790825"/>
            <wp:effectExtent t="0" r="0" b="0" l="0"/>
            <wp:docPr id="1" name="course-rate-mix" descr="Attendance, completion, and pass rate by course." title="Course rate mi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628900"/>
            <wp:effectExtent t="0" r="0" b="0" l="0"/>
            <wp:docPr id="1" name="course-effectiveness" descr="Effectiveness score by course, using the validated L&amp;D scoring model." title="Course effectiveness comparis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Lines/>
        <w:spacing w:after="220" w:before="80"/>
        <w:jc w:val="center"/>
      </w:pPr>
      <w:r>
        <w:drawing>
          <wp:inline distT="0" distB="0" distL="0" distR="0">
            <wp:extent cx="5905500" cy="2952750"/>
            <wp:effectExtent t="0" r="0" b="0" l="0"/>
            <wp:docPr id="1" name="norm-flags" descr="NORM rule triggers grouped by business priority." title="Governance flags by pri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95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Key findings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Strong completion outcome at 98.3% (Excellent)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Completion is calculated as attendance &gt;= 70%; pass rate is tracked separately at 89.8%.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Learners are completing the required session exposure, and assessment achievement is also healthy.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Overall effectiveness score is 88.23 (Risk)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Attendance 92.9%, pass rate 89.8%, average score 7.59/10.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The selected scope is classified as Risk.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DevOps Fundamentals: CI/CD, K8s, Monitoring has the strongest effectiveness score (92.28) in the selected scop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AWS Cloud Architecture &amp; Services needs attention with effectiveness score 85.76, attendance 93.3%, and pass r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8 outstanding trainees met the star learner rule: score &gt;= 9.0 and full attendance. (Good)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2 course groups contained learners who need support based on score or attendance policy. (Monitor)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Evidence: Supported by validated metrics, evidence gate, and L&amp;D NORM checks.</w:t>
      </w:r>
    </w:p>
    <w:p>
      <w:pPr>
        <w:keepLines/>
        <w:widowControl/>
        <w:spacing w:after="160" w:line="276"/>
        <w:ind w:left="360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Implication: Use this signal to prioritize follow-up actions and stakeholder communication.</w:t>
      </w:r>
    </w:p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Recommendations and owners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outcome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Reduce support-needed learner cases from 7 to 0 (100% resolution against pass-score and attendance policy) by the next cohort review.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L&amp;D Manager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Reduce incomplete or missing-assessment learner records from 1 to 0 before the next cohort closes.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Course performance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Course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Learners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Attendance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Completion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 rate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Effectiveness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Automation Testing with Playwright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37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91.9%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97.3%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89.2%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7.59/10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86.66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DevOps Fundamentals: CI/CD, K8s, Monitoring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96%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7.89/10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92.28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AWS Cloud Architecture &amp; Services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12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93.3%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100%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83.3%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7.32/10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85.76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Readiness and evidence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Final conclusion: Allowed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Missing evidence: 0; warnings: 0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Check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Source availability and required columns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Required sheets and columns were mapped from Teams, OneDrive, Forms, KPI, Rules and Template sources.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Course status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All selected courses are completed.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Attendance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Expected attendance rows are trainee count x total sessions. Late is retained for metrics as partial attendance.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Assessment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Completed courses require one valid assessment and pass-status row per trainee.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Feedback completeness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NORM-14 requires at least 60% feedback response rate for valid analysis.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Row-level data quality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Duplicate rows and numeric ranges were checked before metric generation.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Consistency: course ID and pass-status logic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Ready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Cross-source course IDs and pass-status logic were checked against the selected course catalog.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Governance and access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Classification: Risk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0F172A"/>
          <w:sz w:val="23"/>
          <w:szCs w:val="23"/>
        </w:rPr>
        <w:t xml:space="preserve">Sensitive details: Visible; raw appendix: Allowed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cantSplit/>
          <w:tblHeader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Rule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Message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B12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NORM-05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has zero score or missing assessment.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Mark as Incomplete; recommend re-enrollment in next cohort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NORM-04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Medium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passed with low attendance.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L&amp;D review; verify with manager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  <w:tr>
        <w:trPr>
          <w:cantSplit/>
          <w:tblHeader w:val="false"/>
        </w:trPr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NORM-07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High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Trainee needs 1:1 support.</w:t>
            </w:r>
          </w:p>
        </w:tc>
        <w:tc>
          <w:tcPr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keepLines/>
              <w:widowControl/>
              <w:spacing w:after="0" w:line="252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20"/>
                <w:szCs w:val="20"/>
              </w:rPr>
              <w:t xml:space="preserve">Flag for coaching; assign buddy or practice resources</w:t>
            </w:r>
          </w:p>
        </w:tc>
      </w:tr>
    </w:tbl>
    <w:p>
      <w:pPr>
        <w:pStyle w:val="Heading1"/>
        <w:keepNext/>
        <w:keepLines/>
        <w:spacing w:after="140" w:before="320"/>
      </w:pPr>
      <w:r>
        <w:rPr>
          <w:rFonts w:ascii="Arial" w:cs="Arial" w:eastAsia="Arial" w:hAnsi="Arial"/>
          <w:b/>
          <w:bCs/>
          <w:color w:val="0F172A"/>
          <w:sz w:val="32"/>
          <w:szCs w:val="32"/>
        </w:rPr>
        <w:t xml:space="preserve">Appendix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Report ID: rpt_f41ea262-a464-4f72-80b3-1c4b6d2acad5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Dataset ID: ds_ceee59efe360ff56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Metrics snapshot ID: mx_de6e4b97-fcb8-4dfe-b511-3a1d6fa172bf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Evidence decision ID: ev_dc9e630e-6c03-430e-aacd-6d7679dafced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Governance view ID: gv_09edeea6-b6e6-410b-b93c-7339480341cc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Role view: L&amp;D Manager</w:t>
      </w:r>
    </w:p>
    <w:p>
      <w:pPr>
        <w:pStyle w:val="ListParagraph"/>
        <w:keepLines/>
        <w:widowControl/>
        <w:numPr>
          <w:ilvl w:val="0"/>
          <w:numId w:val="1"/>
        </w:numPr>
        <w:spacing w:after="120" w:line="276"/>
        <w:ind w:left="360" w:hanging="180"/>
      </w:pPr>
      <w:r>
        <w:rPr>
          <w:rFonts w:ascii="Arial" w:cs="Arial" w:eastAsia="Arial" w:hAnsi="Arial"/>
          <w:b w:val="false"/>
          <w:bCs w:val="false"/>
          <w:color w:val="0F172A"/>
          <w:sz w:val="23"/>
          <w:szCs w:val="23"/>
        </w:rPr>
        <w:t xml:space="preserve">Sensitive details: visible</w:t>
      </w:r>
    </w:p>
    <w:p>
      <w:pPr>
        <w:keepLines/>
        <w:widowControl/>
        <w:spacing w:after="160" w:line="276"/>
      </w:pPr>
      <w:r>
        <w:rPr>
          <w:rFonts w:ascii="Arial" w:cs="Arial" w:eastAsia="Arial" w:hAnsi="Arial"/>
          <w:color w:val="64748B"/>
          <w:sz w:val="23"/>
          <w:szCs w:val="23"/>
        </w:rPr>
        <w:t xml:space="preserve">Deterministic fallback used. OPENAI_API_KEY is not configured or LD_REPORTING_USE_LLM=false.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3"/>
        <w:szCs w:val="23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pPr>
      <w:keepNext/>
      <w:spacing w:after="180" w:before="0"/>
    </w:pPr>
    <w:rPr>
      <w:rFonts w:ascii="Arial" w:cs="Arial" w:eastAsia="Arial" w:hAnsi="Arial"/>
      <w:b/>
      <w:bCs/>
      <w:color w:val="0F172A"/>
      <w:sz w:val="54"/>
      <w:szCs w:val="54"/>
    </w:rPr>
  </w:style>
  <w:style w:type="paragraph" w:styleId="Heading1">
    <w:name w:val="Heading 1"/>
    <w:basedOn w:val="Normal"/>
    <w:next w:val="Normal"/>
    <w:qFormat/>
    <w:pPr>
      <w:keepNext/>
      <w:spacing w:after="140" w:before="320"/>
    </w:pPr>
    <w:rPr>
      <w:rFonts w:ascii="Arial" w:cs="Arial" w:eastAsia="Arial" w:hAnsi="Arial"/>
      <w:b/>
      <w:bCs/>
      <w:color w:val="0F172A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  <w:pPr>
      <w:spacing w:after="120" w:line="276"/>
    </w:pPr>
    <w:rPr>
      <w:rFonts w:ascii="Arial" w:cs="Arial" w:eastAsia="Arial" w:hAnsi="Arial"/>
      <w:color w:val="0F172A"/>
      <w:sz w:val="23"/>
      <w:szCs w:val="23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b5da624ba2e8a25a8a86ac163cb8b1f4f4ad06bf.png"/><Relationship Id="rId8" Type="http://schemas.openxmlformats.org/officeDocument/2006/relationships/image" Target="media/1ddd429748ab2e788d6bfb99c0e3a0a725f0f9fd.png"/><Relationship Id="rId9" Type="http://schemas.openxmlformats.org/officeDocument/2006/relationships/image" Target="media/667bddb7417f552f9a0bfebc88171a4f32383085.png"/><Relationship Id="rId10" Type="http://schemas.openxmlformats.org/officeDocument/2006/relationships/image" Target="media/137fa4dd59feb6e8baf7f11dc8c6a63f02c6a653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L&amp;D Training Effectiveness Report - 2026-Q1</dc:title>
  <dc:creator>SETA L&amp;D Reporting Agent</dc:creator>
  <dc:description>Training effectiveness is strong with validated evidence.</dc:description>
  <cp:lastModifiedBy>Un-named</cp:lastModifiedBy>
  <cp:revision>1</cp:revision>
  <dcterms:created xsi:type="dcterms:W3CDTF">2026-06-22T18:44:42.702Z</dcterms:created>
  <dcterms:modified xsi:type="dcterms:W3CDTF">2026-06-22T18:44:42.702Z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