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DevOps</w:t>
      </w:r>
    </w:p>
    <w:p>
      <w:pPr>
        <w:keepLines/>
        <w:spacing w:after="120"/>
      </w:pPr>
      <w:r>
        <w:rPr>
          <w:color w:val="64748B"/>
        </w:rPr>
        <w:t xml:space="preserve">Course DevOps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10 trainee-course records. Overall attendance is 96%, completion is 100%, pass rate is 100%, and average score is 7.89/10. Total training hours are 216 and scaled cost is 15. Overall effectiveness classification is Effective. Management interpretation: The training program for the DevOps course has demonstrated high effectiveness, achieving a completion rate of 100% and a pass rate of 100% among the 10 trainees. The overall attendance rate is commendable at 96%, and the average score of 7.89 out of 10 indicates strong performance. The feedback rating of 4.6 out of 5 further supports the positive reception of the course content and delivery.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Effective.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4.6/5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100%.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92.28 (Good)</w:t>
      </w:r>
    </w:p>
    <w:p>
      <w:pPr>
        <w:keepLines/>
        <w:spacing w:after="120"/>
      </w:pPr>
      <w:r>
        <w:rPr>
          <w:color w:val="0F172A"/>
        </w:rPr>
        <w:t xml:space="preserve">Evidence: Attendance 96%, pass rate 100%, average score 7.89/10.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Effective.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an effectiveness score of 92.28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course has successfully met all key performance indicators, with no outstanding issues or flags raised dur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total training hours amount to 216, with a scaled cost of 15, resulting in a favorable ROI proxy of 0.0207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effectiveness score of 92.28 reflects the course's alignment with organizational learning objectives.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Maintain the current delivery model and reuse top-performing materials for future cohorts.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 maintain and enhance the effectiveness of future training initiatives, it is recommended to continue leveraging the successful elements of this course while exploring opportunities for advanced topics or follow-up sessions in DevOps.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consider implementing a mentorship program for high-performing trainees to foster knowledge sharing and leadership development.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Effective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 NORM flags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 governance flags triggered.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Continue monitoring.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rpt_151eee9a-2c98-4092-ba7c-f5e24cfe7e3b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ds_3fd46776948d2e2b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mx_7f74f665-a1b6-4557-8610-fd3bf0ec5835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ev_06cfb27d-a51c-4690-bc7d-c5805ac65bce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gv_75053fa1-7a1a-4cff-909e-90433498d3b0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25131c2c65b328e96a5e77fc2718ac92d8859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DevOps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2026-06-22T09:50:59.005Z</dcterms:created>
  <dcterms:modified xsi:type="dcterms:W3CDTF">2026-06-22T09:50:59.005Z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