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achieved a high completion rate of 100% and an attendance rate of 93.3%. However, the pass rate of 83.3% indicates that a portion of trainees did not meet the expected performance threshold, leading to an overall effectiveness classification of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7.32/10 and a feedback rating of 4.71/5 suggest that while trainees found the course valu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maintaining high engagement strategies may help improve the pass rate in future iterations.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rpt_1babeb2a-749e-4800-b97c-9bbce8d2f50e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ds_30cbf17ccd875c49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mx_06524735-3d23-4e0b-8bcc-737c0ef7e607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ev_08033cb2-b7eb-4c31-8a68-98284dfda629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gv_7151efbb-61aa-44d8-8c14-99855d44f7fc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2026-06-22T10:29:07.069Z</dcterms:created>
  <dcterms:modified xsi:type="dcterms:W3CDTF">2026-06-22T10:29:07.069Z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