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loudAWS_03_2026</w:t>
      </w:r>
    </w:p>
    <w:p>
      <w:pPr>
        <w:keepLines/>
        <w:spacing w:after="120"/>
      </w:pPr>
      <w:r>
        <w:rPr>
          <w:color w:val="64748B"/>
        </w:rPr>
        <w:t xml:space="preserve">Course loudAWS_03_2026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course 'AWS Cloud Architecture &amp; Services' has achieved a completion rate of 100% with an overall attendance rate of 93.3%. However, the pass rate of 83.3% indicates that a portion of trainees did not meet the expected performance standards, leading to a classification of Risk for overall effectiveness. The average score of 7.32/10 and feedback rating of 4.71/5 suggest positive reception, yet the effectiveness score of 85.76 indicates room for improvement.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Nonetheless, two trainees require additional support due to performance below the pass threshold, highlighting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Furthermore, a review of course content may be beneficial to address the performance gaps indicated by the pass rate and to ensure that all trainees can achieve the desired learning outcomes.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rpt_76ed8b93-2916-4ede-aff2-648a6eb766a9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ds_7b5f9e8b14f4c060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mx_8b9d0724-f2ac-4f59-97a8-56e4bba78aa1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ev_fee5ce31-7c76-4e02-b93c-b8c12f028551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gv_1449e82c-78d9-4376-ad96-6bb81a28a2d3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loudAWS_03_2026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2026-06-22T03:50:56.593Z</dcterms:created>
  <dcterms:modified xsi:type="dcterms:W3CDTF">2026-06-22T03:50:56.593Z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