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Technical Leadership &amp; Communication</w:t>
      </w:r>
    </w:p>
    <w:p>
      <w:pPr>
        <w:spacing w:after="120"/>
      </w:pPr>
      <w:r>
        <w:rPr>
          <w:color w:val="64748B"/>
        </w:rPr>
        <w:t xml:space="preserve">Course Leadership_06_2026</w:t>
      </w:r>
    </w:p>
    <w:p>
      <w:pPr>
        <w:spacing w:after="120"/>
      </w:pPr>
      <w:r>
        <w:rPr>
          <w:color w:val="64748B"/>
        </w:rPr>
        <w:t xml:space="preserve">Audience: L&amp;D Manager | Evidence: Blocked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Evidence gaps block a final effectiveness conclusion.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blocked until required evidence is resolved.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0% (Risk)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0%.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25.58 (Risk)</w:t>
      </w:r>
    </w:p>
    <w:p>
      <w:pPr>
        <w:spacing w:after="120"/>
      </w:pPr>
      <w:r>
        <w:rPr>
          <w:color w:val="0F172A"/>
        </w:rPr>
        <w:t xml:space="preserve">Evidence: Attendance 47.9%, pass rate 0%, average score N/A/10.</w:t>
      </w:r>
    </w:p>
    <w:p>
      <w:pPr>
        <w:spacing w:after="120"/>
      </w:pPr>
      <w:r>
        <w:rPr>
          <w:color w:val="0F172A"/>
        </w:rPr>
        <w:t xml:space="preserve">Implication: The selected scope is classified as Not reportable.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Technical Leadership &amp; Communication has an effectiveness score of 25.58 in the selected scope.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10 high-priority L&amp;D NORM flags were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Evidence status is BLOCKED; conclusions must be limited to validated metrics.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 final conclusion; flag data incomplete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Use this output as a preliminary readiness report and assign owners to missing evidence items.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Open a course content review with the L&amp;D manager and confirm the improvement owner.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25.58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Blocked</w:t>
      </w:r>
    </w:p>
    <w:p>
      <w:pPr>
        <w:spacing w:after="120"/>
      </w:pPr>
      <w:r>
        <w:rPr>
          <w:color w:val="0F172A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 selected course(s) are not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Not reportable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Send reminder to absentees; flag to direct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rpt_442dd879-ba86-4b22-8802-b1a47b26f8b7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ds_e3c2a2879ee0d25c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mx_f63645af-59a3-432e-a179-9c690841aab3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ev_41d8df2f-9b48-4506-9e51-bede9d409ee5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gv_ed66b3e7-1aa4-4c7e-905e-6b780e0d3bdf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Technical Leadership &amp; Communication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2026-06-21T15:15:46.838Z</dcterms:created>
  <dcterms:modified xsi:type="dcterms:W3CDTF">2026-06-21T15:15:46.838Z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