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- 2026-Q2</w:t>
      </w:r>
    </w:p>
    <w:p>
      <w:pPr>
        <w:spacing w:after="120"/>
      </w:pPr>
      <w:r>
        <w:rPr>
          <w:color w:val="64748B"/>
        </w:rPr>
        <w:t xml:space="preserve">Period 2026-Q2 | Type full</w:t>
      </w:r>
    </w:p>
    <w:p>
      <w:pPr>
        <w:spacing w:after="120"/>
      </w:pPr>
      <w:r>
        <w:rPr>
          <w:color w:val="64748B"/>
        </w:rPr>
        <w:t xml:space="preserve">Audience: L&amp;D Manager | Evidence: Blocked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Evidence gaps block a final effectiveness conclusion.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2 completed course(s), and 38 trainee-course records. Overall attendance is 81.4%, completion is 73.7%, pass rate is 68.4%, and average score is 7.56/10. Total training hours are 406.5 and scaled cost is 20.4. Final effectiveness conclusion is blocked because required evidence is incomplete or course status is not completed. Management interpretation: The training program for the second quarter of 2026 includes three courses, with two completed and one still in progress. Overall attendance stands at 81.4%, while completion and pass rates are at 73.7% and 68.4%, respectively. The average score across all courses is 7.56 out of 10, indicating a generally positive performance. However, the effectiveness conclusion is blocked due to incomplete evidence, particularly concerning the in-progress course and inconsistencies in scoring.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blocked until required evidence is resolved.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81.4%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73.7%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68.4%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Risk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7.56/10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4.74/5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406.5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20.4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0.0522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73.7% (Risk)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68.4%.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65.86 (Risk)</w:t>
      </w:r>
    </w:p>
    <w:p>
      <w:pPr>
        <w:spacing w:after="120"/>
      </w:pPr>
      <w:r>
        <w:rPr>
          <w:color w:val="0F172A"/>
        </w:rPr>
        <w:t xml:space="preserve">Evidence: Attendance 81.4%, pass rate 68.4%, average score 7.56/10.</w:t>
      </w:r>
    </w:p>
    <w:p>
      <w:pPr>
        <w:spacing w:after="120"/>
      </w:pPr>
      <w:r>
        <w:rPr>
          <w:color w:val="0F172A"/>
        </w:rPr>
        <w:t xml:space="preserve">Implication: The selected scope is classified as Not reportable.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the strongest effectiveness score (89.47) in the selected scope.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Technical Leadership &amp; Communication needs attention with effectiveness score 25.58, attendance 47.9%, and pas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18 high-priority L&amp;D NORM flags were triggered.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Evidence status is BLOCKED; conclusions must be limited to validated metrics.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Verify with trainer before report generation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 final conclusion; flag data incomplete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Do not publish a final effectiveness conclusion until blocked evidence items are resolved.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Golang Backend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88.2%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82.4%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7.31/10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82.52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Technical Leadership &amp; Communication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47.9%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N/A/10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25.58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Blocked</w:t>
      </w:r>
    </w:p>
    <w:p>
      <w:pPr>
        <w:spacing w:after="120"/>
      </w:pPr>
      <w:r>
        <w:rPr>
          <w:color w:val="0F172A"/>
        </w:rPr>
        <w:t xml:space="preserve">Missing evidence: 3; warnings: 1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 course(s) are not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Warning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Blocked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Not reportable</w:t>
      </w:r>
    </w:p>
    <w:p>
      <w:pPr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NORM-01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 is below 70%.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course for content review; notify L&amp;D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rate is below 75%.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Send reminder to absentees; flag to direct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Pass_Status does not match score and threshold.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Verify with trainer before report generation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rpt_03b332d6-0099-4f46-83ff-f185db857a87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ds_47b71e828a6d7a8d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mx_72fae422-b35b-4647-bc93-32e4d022f982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ev_71ef2553-bae9-4a89-bd5f-59edf6276160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gv_8c53ea34-083a-4ad8-bed9-ba9191e9aca5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spacing w:after="120"/>
      </w:pPr>
      <w:r>
        <w:rPr>
          <w:color w:val="64748B"/>
        </w:rPr>
        <w:t xml:space="preserve">OpenAI gpt-4o-mini enriched narrative fields. Numeric metrics remain deterministic.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- 2026-Q2</dc:title>
  <dc:creator>SETA L&amp;D Reporting Agent</dc:creator>
  <dc:description>Evidence gaps block a final effectiveness conclusion.</dc:description>
  <cp:lastModifiedBy>Un-named</cp:lastModifiedBy>
  <cp:revision>1</cp:revision>
  <dcterms:created xsi:type="dcterms:W3CDTF">2026-06-17T07:26:00.457Z</dcterms:created>
  <dcterms:modified xsi:type="dcterms:W3CDTF">2026-06-17T07:26:00.457Z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