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AIAgent_05_2026</w:t>
      </w:r>
    </w:p>
    <w:p>
      <w:pPr>
        <w:spacing w:after="120"/>
      </w:pPr>
      <w:r>
        <w:rPr>
          <w:color w:val="64748B"/>
        </w:rPr>
        <w:t xml:space="preserve">Course AIAgent_05_2026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course 'AI Agent &amp; LLM Application Development' was completed with a high attendance rate of 90.4% and a perfect completion rate of 100%. The overall pass rate stands at 92.3%, with an average score of 7.88 out of 10. Despite these positive metrics, the overall effectiveness classification is marked as Risk, indicating potential areas for improvement.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the strongest effectiveness score (89.47)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feedback rating of 4.73 out of 5 suggests that the course content was well-received, yet the effectiveness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a review of the course content and delivery methods should be conducted to address the effectiveness classification marked as Risk, ensuring that all trainees achieve the desired learning outcomes.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rpt_2f6e7a89-80a9-4dc9-b72b-fb5320983808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ds_b3bc7edf080409a6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mx_7c4b8aad-2237-49f1-bc0e-4caabf5831a6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ev_9a3df462-16d9-45ec-b828-f642e75630dd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gv_91b18804-c851-4e23-9ac9-c1e723b47cd8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AIAgent_05_2026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2026-06-17T07:20:04.820Z</dcterms:created>
  <dcterms:modified xsi:type="dcterms:W3CDTF">2026-06-17T07:20:04.820Z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