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1 completed, 13 trainee-course records.</w:t>
      </w:r>
    </w:p>
    <w:p>
      <w:r>
        <w:t xml:space="preserve">Attendance 90.4% · Completion 100% · Pass rate 92.3% · Avg score 7.88/10.</w:t>
      </w:r>
    </w:p>
    <w:p>
      <w:r>
        <w:t xml:space="preserve">Feedback 4.73/5 · Training hours 188 · Scaled cost 9.6 · ROI proxy 0.042.</w:t>
      </w:r>
    </w:p>
    <w:p>
      <w:r>
        <w:t xml:space="preserve">AI Agent &amp; LLM Application Development: 13 trainees, attendance 90.4%, completion 100%, pass 92.3%, score 7.88/10, effectiveness 89.47.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2. L&amp;D Manager view may show individual IDs.</w:t>
      </w:r>
    </w:p>
    <w:p>
      <w:pPr>
        <w:pStyle w:val="Heading1"/>
      </w:pPr>
      <w:r>
        <w:t xml:space="preserve">Outstanding: EMP-005 · AIAgent_05_2026 · score 9.4 · attendance 100%.</w:t>
      </w:r>
    </w:p>
    <w:p>
      <w:pPr>
        <w:pStyle w:val="Heading1"/>
      </w:pPr>
      <w:r>
        <w:t xml:space="preserve">Outstanding: EMP-119 · AIAgent_05_2026 · score 9.4 · attendance 100%.</w:t>
      </w:r>
    </w:p>
    <w:p>
      <w:r>
        <w:t xml:space="preserve">Support-needed group: AIAgent_05_2026 has 1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92.3%.</w:t>
      </w:r>
    </w:p>
    <w:p>
      <w:pPr>
        <w:pStyle w:val="Heading1"/>
      </w:pPr>
      <w:r>
        <w:t xml:space="preserve">Average assessment score: 7.88/10.</w:t>
      </w:r>
    </w:p>
    <w:p>
      <w:r>
        <w:t xml:space="preserve">AI Agent &amp; LLM Application Development: pass 92.3%, avg score 7.88/10.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90.4%.</w:t>
      </w:r>
    </w:p>
    <w:p>
      <w:pPr>
        <w:pStyle w:val="Heading1"/>
      </w:pPr>
      <w:r>
        <w:t xml:space="preserve">Total attended training hours: 188.</w:t>
      </w:r>
    </w:p>
    <w:p>
      <w:pPr>
        <w:pStyle w:val="Heading1"/>
      </w:pPr>
      <w:r>
        <w:t xml:space="preserve">AI Agent &amp; LLM Application Development: attendance 90.4%, hours 188.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89.47.</w:t>
      </w:r>
    </w:p>
    <w:p>
      <w:pPr>
        <w:pStyle w:val="Heading1"/>
      </w:pPr>
      <w:r>
        <w:t xml:space="preserve">NORM flags: 1; high-priority flags: 1.</w:t>
      </w:r>
    </w:p>
    <w:p>
      <w:r>
        <w:t xml:space="preserve">AI Agent &amp; LLM Application Development has the strongest effectiveness score (89.47) in the selected scope.</w:t>
      </w:r>
    </w:p>
    <w:p>
      <w:r>
        <w:t xml:space="preserve">2 outstanding trainee(s) meet the star learner rule: score &gt;= 9.0 and full attendance.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rpt_3279611b-3b62-4eb5-a18e-12bc9b67f1ee.</w:t>
      </w:r>
    </w:p>
    <w:p>
      <w:pPr>
        <w:pStyle w:val="Heading1"/>
      </w:pPr>
      <w:r>
        <w:t xml:space="preserve">Dataset ID: ds_1951d82914b51a1b.</w:t>
      </w:r>
    </w:p>
    <w:p>
      <w:pPr>
        <w:pStyle w:val="Heading1"/>
      </w:pPr>
      <w:r>
        <w:t xml:space="preserve">Metrics snapshot ID: mx_ba8fdad1-d7bd-4bd7-bc99-d1d51857a49b.</w:t>
      </w:r>
    </w:p>
    <w:p>
      <w:pPr>
        <w:pStyle w:val="Heading1"/>
      </w:pPr>
      <w:r>
        <w:t xml:space="preserve">Evidence decision ID: ev_c0cab5c2-41c1-4200-8bf5-c8a659099658.</w:t>
      </w:r>
    </w:p>
    <w:p>
      <w:pPr>
        <w:pStyle w:val="Heading1"/>
      </w:pPr>
      <w:r>
        <w:t xml:space="preserve">Governance view ID: gv_22b126a4-2ff6-4388-8d40-9313e1a48761.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2026-06-17T06:11:09.250Z</dcterms:created>
  <dcterms:modified xsi:type="dcterms:W3CDTF">2026-06-17T06:11:09.250Z</dcterms:modified>
</cp:coreProperties>
</file>