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spacing w:after="120"/>
      </w:pPr>
      <w:r>
        <w:rPr>
          <w:color w:val="64748B"/>
        </w:rPr>
        <w:t xml:space="preserve">Period 2026-Q1 | Type full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Teams, OneDrive, Forms, KPI, Rules and Template sheets were mapped to simulated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×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assessment/pass-status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ID, trainee ID, period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rpt_37cd81b2-b8f8-4a47-996a-6c53b74c9094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ds_984151c074acd2d0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mx_429bc3c1-de4c-4598-9f4a-0aac6f5e5a45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ev_41228dcc-2075-45c4-a79c-7101fa19084f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gv_4e7e0f8c-21af-43fc-b930-5577d352053f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LLM narrative fallback: OpenAI quota exhausted for the configured API key (insufficient_quota). Check billing, project budget, or use another key.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2026-06-18T07:10:34.362Z</dcterms:created>
  <dcterms:modified xsi:type="dcterms:W3CDTF">2026-06-18T07:10:34.362Z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