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 Management interpretation: The training program for Q1 2026 included three completed courses with a high overall attendance rate of 92.9% and an impressive completion rate of 98.3%. However, the overall pass rate of 89.8% indicates that some trainees did not meet the expected performance standards, leading to a classification of Risk for overall effectiveness. The average score of 7.59 out of 10 reflects a solid understanding of the material, but there are areas for improvement, particularly in individual performance metrics.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7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'DevOps Fundamentals: CI/CD, K8s, Monitoring' achieved a perfect completion and pass rate, indicati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revising the course content or delivery methods for courses with lower pass rates to better align with trainee needs.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Regular monitoring of attendance and performance metrics should be established to proactively address potential issues before they impact overall effectiveness.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Reduce attendance risk in the next cohort.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rpt_3811f5fd-f385-494d-95f8-6ccb256d1c03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ds_835a373271ea7bbe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mx_751bd96e-77f2-4d74-b65b-eb3b5e21d8bb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ev_1101ea02-43d8-4443-a3ff-d133463dde94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gv_3a0ca683-da72-460d-8a48-9b89359c1e7d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2026-06-18T07:05:59.466Z</dcterms:created>
  <dcterms:modified xsi:type="dcterms:W3CDTF">2026-06-18T07:05:59.466Z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