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b/>
          <w:bCs/>
          <w:color w:val="0F172A"/>
        </w:rPr>
        <w:t xml:space="preserve">L&amp;D Training Effectiveness Report - 2026-Q1</w:t>
      </w:r>
    </w:p>
    <w:p>
      <w:pPr>
        <w:spacing w:after="120"/>
      </w:pPr>
      <w:r>
        <w:rPr>
          <w:color w:val="64748B"/>
        </w:rPr>
        <w:t xml:space="preserve">Period 2026-Q1 | Type full</w:t>
      </w:r>
    </w:p>
    <w:p>
      <w:pPr>
        <w:spacing w:after="120"/>
      </w:pPr>
      <w:r>
        <w:rPr>
          <w:color w:val="64748B"/>
        </w:rPr>
        <w:t xml:space="preserve">Audience: L&amp;D Manager | Evidence: Passed | Status: Draft</w:t>
      </w:r>
    </w:p>
    <w:p>
      <w:pPr>
        <w:pStyle w:val="Heading1"/>
        <w:spacing w:after="120" w:before="280"/>
      </w:pPr>
      <w:r>
        <w:rPr>
          <w:b/>
          <w:bCs/>
          <w:color w:val="0F172A"/>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tcPr>
          <w:p>
            <w:pPr>
              <w:spacing w:after="120"/>
            </w:pPr>
            <w:r>
              <w:rPr>
                <w:b/>
                <w:bCs/>
                <w:color w:val="0F172A"/>
              </w:rPr>
              <w:t xml:space="preserve">Training effectiveness is strong with validated evidence.</w:t>
            </w:r>
          </w:p>
          <w:p>
            <w:pPr>
              <w:spacing w:after="120"/>
            </w:pPr>
            <w:r>
              <w:rPr>
                <w:color w:val="0F172A"/>
              </w:rPr>
              <w:t xml:space="preserve">The selected scope contains 3 course(s), 3 completed course(s), and 59 trainee-course records. Overall attendance is 92.9%, completion is 98.3%, pass rate is 89.8%, and average score is 7.59/10. Total training hours are 848 and scaled cost is 32. Overall effectiveness classification is Risk. Management interpretation: The training program for Q1 2026 included three completed courses with a total of 59 trainees. The overall attendance rate was 92.9%, and the completion rate reached 98.3%. However, the pass rate of 89.8% indicates some challenges in trainee performance, particularly in the Automation Testing course, which has been flagged for individual support needs. The overall effectiveness classification is marked as Risk, suggesting areas for improvement.</w:t>
            </w:r>
          </w:p>
        </w:tc>
      </w:tr>
    </w:tbl>
    <w:p>
      <w:pPr>
        <w:spacing w:after="120"/>
      </w:pPr>
      <w:r>
        <w:rPr>
          <w:color w:val="0F172A"/>
        </w:rPr>
        <w:t xml:space="preserve">Final conclusion is allowed. Overall classification is Risk.</w:t>
      </w:r>
    </w:p>
    <w:p>
      <w:pPr>
        <w:pStyle w:val="Heading1"/>
        <w:spacing w:after="120" w:before="280"/>
      </w:pPr>
      <w:r>
        <w:rPr>
          <w:b/>
          <w:bCs/>
          <w:color w:val="0F172A"/>
        </w:rPr>
        <w:t xml:space="preserve">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Metric</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Value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Target</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Meaning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92.9%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Learner attendance across validated sessions.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98.3%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90%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Excellent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 is based on attendance &gt;= 70%, separate from pass rate.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89.8%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achievement against course pass threshold.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Avg score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7.59/10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Threshold 6.5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Average assessment score from validated records.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Satisfaction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4.48/5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4.0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Combined trainer and content feedback rating.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Training hours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848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Total attended training hours.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 signal for relative comparison.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ROI proxy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0.0683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Relative KPI</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Monitor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Proxy metric using post-training performance delta and scaled cost.</w:t>
            </w:r>
          </w:p>
        </w:tc>
      </w:tr>
    </w:tbl>
    <w:p>
      <w:pPr>
        <w:pStyle w:val="Heading1"/>
        <w:spacing w:after="120" w:before="280"/>
      </w:pPr>
      <w:r>
        <w:rPr>
          <w:b/>
          <w:bCs/>
          <w:color w:val="0F172A"/>
        </w:rPr>
        <w:t xml:space="preserve">Key findings</w:t>
      </w:r>
    </w:p>
    <w:p>
      <w:pPr>
        <w:pStyle w:val="ListParagraph"/>
        <w:numPr>
          <w:ilvl w:val="0"/>
          <w:numId w:val="1"/>
        </w:numPr>
        <w:spacing w:after="80"/>
      </w:pPr>
      <w:r>
        <w:rPr>
          <w:b/>
          <w:bCs/>
          <w:color w:val="0F172A"/>
        </w:rPr>
        <w:t xml:space="preserve">Strong completion outcome at 98.3% (Excellent)</w:t>
      </w:r>
    </w:p>
    <w:p>
      <w:pPr>
        <w:spacing w:after="120"/>
      </w:pPr>
      <w:r>
        <w:rPr>
          <w:color w:val="0F172A"/>
        </w:rPr>
        <w:t xml:space="preserve">Evidence: Completion is calculated as attendance &gt;= 70%; pass rate is tracked separately at 89.8%.</w:t>
      </w:r>
    </w:p>
    <w:p>
      <w:pPr>
        <w:spacing w:after="120"/>
      </w:pPr>
      <w:r>
        <w:rPr>
          <w:color w:val="0F172A"/>
        </w:rPr>
        <w:t xml:space="preserve">Implication: Learners are completing the required session exposure, and assessment achievement is also healthy.</w:t>
      </w:r>
    </w:p>
    <w:p>
      <w:pPr>
        <w:pStyle w:val="ListParagraph"/>
        <w:numPr>
          <w:ilvl w:val="0"/>
          <w:numId w:val="1"/>
        </w:numPr>
        <w:spacing w:after="80"/>
      </w:pPr>
      <w:r>
        <w:rPr>
          <w:b/>
          <w:bCs/>
          <w:color w:val="0F172A"/>
        </w:rPr>
        <w:t xml:space="preserve">Overall effectiveness score is 88.23 (Risk)</w:t>
      </w:r>
    </w:p>
    <w:p>
      <w:pPr>
        <w:spacing w:after="120"/>
      </w:pPr>
      <w:r>
        <w:rPr>
          <w:color w:val="0F172A"/>
        </w:rPr>
        <w:t xml:space="preserve">Evidence: Attendance 92.9%, pass rate 89.8%, average score 7.59/10.</w:t>
      </w:r>
    </w:p>
    <w:p>
      <w:pPr>
        <w:spacing w:after="120"/>
      </w:pPr>
      <w:r>
        <w:rPr>
          <w:color w:val="0F172A"/>
        </w:rPr>
        <w:t xml:space="preserve">Implication: The selected scope is classified as Risk.</w:t>
      </w:r>
    </w:p>
    <w:p>
      <w:pPr>
        <w:pStyle w:val="ListParagraph"/>
        <w:numPr>
          <w:ilvl w:val="0"/>
          <w:numId w:val="1"/>
        </w:numPr>
        <w:spacing w:after="80"/>
      </w:pPr>
      <w:r>
        <w:rPr>
          <w:b/>
          <w:bCs/>
          <w:color w:val="0F172A"/>
        </w:rPr>
        <w:t xml:space="preserve">DevOps Fundamentals: CI/CD, K8s, Monitoring has the strongest effectiveness score (92.28) in the selected scop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AWS Cloud Architecture &amp; Services needs attention with effectiveness score 85.76, attendance 93.3%, and pass r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7 high-priority L&amp;D NORM flags were triggered.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The average score across all courses was 7.59 out of 10, with a feedback rating of 4.48 out of 5, indicating g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Heading1"/>
        <w:spacing w:after="120" w:before="280"/>
      </w:pPr>
      <w:r>
        <w:rPr>
          <w:b/>
          <w:bCs/>
          <w:color w:val="0F172A"/>
        </w:rPr>
        <w:t xml:space="preserve">Recommendations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Owner</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Expected outcome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Assign a coaching owner, buddy support, and targeted practice resources for the flagged learner.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learner recovery and reduce support-needed cases.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incomplete learner records for review and schedule re-enrollment in the next suitable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Low</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Additionally, consider reviewing course content and delivery methods for the Automation Testing course to address the identified performance gaps.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bl>
    <w:p>
      <w:pPr>
        <w:pStyle w:val="Heading1"/>
        <w:spacing w:after="120" w:before="280"/>
      </w:pPr>
      <w:r>
        <w:rPr>
          <w:b/>
          <w:bCs/>
          <w:color w:val="0F172A"/>
        </w:rPr>
        <w:t xml:space="preserve">Course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Course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Learners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Attendance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Completion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Pass rate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Score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Effectiveness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Automation Testing with Playwright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91.9%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97.3%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89.2%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7.59/10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86.66</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DevOps Fundamentals: CI/CD, K8s, Monitoring</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96%</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7.89/10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92.28</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AWS Cloud Architecture &amp; Services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12</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93.3%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100%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83.3%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7.32/10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85.76</w:t>
            </w:r>
          </w:p>
        </w:tc>
      </w:tr>
    </w:tbl>
    <w:p>
      <w:pPr>
        <w:pStyle w:val="Heading1"/>
        <w:spacing w:after="120" w:before="280"/>
      </w:pPr>
      <w:r>
        <w:rPr>
          <w:b/>
          <w:bCs/>
          <w:color w:val="0F172A"/>
        </w:rPr>
        <w:t xml:space="preserve">Readiness and evidence</w:t>
      </w:r>
    </w:p>
    <w:p>
      <w:pPr>
        <w:spacing w:after="120"/>
      </w:pPr>
      <w:r>
        <w:rPr>
          <w:color w:val="0F172A"/>
        </w:rPr>
        <w:t xml:space="preserve">Final conclusion: Allowed</w:t>
      </w:r>
    </w:p>
    <w:p>
      <w:pPr>
        <w:spacing w:after="120"/>
      </w:pPr>
      <w:r>
        <w:rPr>
          <w:color w:val="0F172A"/>
        </w:rPr>
        <w:t xml:space="preserve">Missing evidence: 0; warnings: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Check</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Detail</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Source availability and required columns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Teams, OneDrive, Forms, KPI, Rules and Template sheets were mapped to simulated 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Course status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All selected courses are completed.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Expected attendance rows are trainee count × total sessions. Late is retained for metrics as partial attendance.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Completed courses require one assessment/pass-status row per trainee.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Feedback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NORM-14 requires at least 60% feedback response rate for valid analysis.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Consistency: course ID, trainee ID, period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Cross-source course IDs and pass-status logic were checked against the catalog.</w:t>
            </w:r>
          </w:p>
        </w:tc>
      </w:tr>
    </w:tbl>
    <w:p>
      <w:pPr>
        <w:pStyle w:val="Heading1"/>
        <w:spacing w:after="120" w:before="280"/>
      </w:pPr>
      <w:r>
        <w:rPr>
          <w:b/>
          <w:bCs/>
          <w:color w:val="0F172A"/>
        </w:rPr>
        <w:t xml:space="preserve">Governance and access</w:t>
      </w:r>
    </w:p>
    <w:p>
      <w:pPr>
        <w:spacing w:after="120"/>
      </w:pPr>
      <w:r>
        <w:rPr>
          <w:color w:val="0F172A"/>
        </w:rPr>
        <w:t xml:space="preserve">Classification: Risk</w:t>
      </w:r>
    </w:p>
    <w:p>
      <w:pPr>
        <w:spacing w:after="120"/>
      </w:pPr>
      <w:r>
        <w:rPr>
          <w:color w:val="0F172A"/>
        </w:rPr>
        <w:t xml:space="preserve">Sensitive details: Visible; raw appendix: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Rule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Message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NORM-04</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passed with low 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L&amp;D review; verify with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NORM-07</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needs 1:1 support.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for coaching; assign buddy or practice resources</w:t>
            </w:r>
          </w:p>
        </w:tc>
      </w:tr>
    </w:tbl>
    <w:p>
      <w:pPr>
        <w:pStyle w:val="Heading1"/>
        <w:spacing w:after="120" w:before="280"/>
      </w:pPr>
      <w:r>
        <w:rPr>
          <w:b/>
          <w:bCs/>
          <w:color w:val="0F172A"/>
        </w:rPr>
        <w:t xml:space="preserve">Appendix</w:t>
      </w:r>
    </w:p>
    <w:p>
      <w:pPr>
        <w:pStyle w:val="ListParagraph"/>
        <w:numPr>
          <w:ilvl w:val="0"/>
          <w:numId w:val="1"/>
        </w:numPr>
        <w:spacing w:after="80"/>
      </w:pPr>
      <w:r>
        <w:rPr>
          <w:b w:val="false"/>
          <w:bCs w:val="false"/>
          <w:color w:val="0F172A"/>
        </w:rPr>
        <w:t xml:space="preserve">Report ID: rpt_4ef1ad00-886a-41ed-8ae2-7767129888e2</w:t>
      </w:r>
    </w:p>
    <w:p>
      <w:pPr>
        <w:pStyle w:val="ListParagraph"/>
        <w:numPr>
          <w:ilvl w:val="0"/>
          <w:numId w:val="1"/>
        </w:numPr>
        <w:spacing w:after="80"/>
      </w:pPr>
      <w:r>
        <w:rPr>
          <w:b w:val="false"/>
          <w:bCs w:val="false"/>
          <w:color w:val="0F172A"/>
        </w:rPr>
        <w:t xml:space="preserve">Dataset ID: ds_6066d230fc4bce22</w:t>
      </w:r>
    </w:p>
    <w:p>
      <w:pPr>
        <w:pStyle w:val="ListParagraph"/>
        <w:numPr>
          <w:ilvl w:val="0"/>
          <w:numId w:val="1"/>
        </w:numPr>
        <w:spacing w:after="80"/>
      </w:pPr>
      <w:r>
        <w:rPr>
          <w:b w:val="false"/>
          <w:bCs w:val="false"/>
          <w:color w:val="0F172A"/>
        </w:rPr>
        <w:t xml:space="preserve">Metrics snapshot ID: mx_da98b924-fe19-485d-b84b-fb33e437f910</w:t>
      </w:r>
    </w:p>
    <w:p>
      <w:pPr>
        <w:pStyle w:val="ListParagraph"/>
        <w:numPr>
          <w:ilvl w:val="0"/>
          <w:numId w:val="1"/>
        </w:numPr>
        <w:spacing w:after="80"/>
      </w:pPr>
      <w:r>
        <w:rPr>
          <w:b w:val="false"/>
          <w:bCs w:val="false"/>
          <w:color w:val="0F172A"/>
        </w:rPr>
        <w:t xml:space="preserve">Evidence decision ID: ev_73746d81-ffcd-41c4-abea-74d970eb9bde</w:t>
      </w:r>
    </w:p>
    <w:p>
      <w:pPr>
        <w:pStyle w:val="ListParagraph"/>
        <w:numPr>
          <w:ilvl w:val="0"/>
          <w:numId w:val="1"/>
        </w:numPr>
        <w:spacing w:after="80"/>
      </w:pPr>
      <w:r>
        <w:rPr>
          <w:b w:val="false"/>
          <w:bCs w:val="false"/>
          <w:color w:val="0F172A"/>
        </w:rPr>
        <w:t xml:space="preserve">Governance view ID: gv_909c8eb9-ce88-43c7-9688-70c6fda1e0ec</w:t>
      </w:r>
    </w:p>
    <w:p>
      <w:pPr>
        <w:pStyle w:val="ListParagraph"/>
        <w:numPr>
          <w:ilvl w:val="0"/>
          <w:numId w:val="1"/>
        </w:numPr>
        <w:spacing w:after="80"/>
      </w:pPr>
      <w:r>
        <w:rPr>
          <w:b w:val="false"/>
          <w:bCs w:val="false"/>
          <w:color w:val="0F172A"/>
        </w:rPr>
        <w:t xml:space="preserve">Role view: L&amp;D Manager</w:t>
      </w:r>
    </w:p>
    <w:p>
      <w:pPr>
        <w:pStyle w:val="ListParagraph"/>
        <w:numPr>
          <w:ilvl w:val="0"/>
          <w:numId w:val="1"/>
        </w:numPr>
        <w:spacing w:after="80"/>
      </w:pPr>
      <w:r>
        <w:rPr>
          <w:b w:val="false"/>
          <w:bCs w:val="false"/>
          <w:color w:val="0F172A"/>
        </w:rPr>
        <w:t xml:space="preserve">Sensitive details: visible</w:t>
      </w:r>
    </w:p>
    <w:p>
      <w:pPr>
        <w:spacing w:after="120"/>
      </w:pPr>
      <w:r>
        <w:rPr>
          <w:color w:val="64748B"/>
        </w:rPr>
        <w:t xml:space="preserve">OpenAI gpt-4o-mini enriched narrative fields. Numeric metrics remain deterministic.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Training Effectiveness Report - 2026-Q1</dc:title>
  <dc:creator>SETA L&amp;D Reporting Agent</dc:creator>
  <dc:description>Training effectiveness is strong with validated evidence.</dc:description>
  <cp:lastModifiedBy>Un-named</cp:lastModifiedBy>
  <cp:revision>1</cp:revision>
  <dcterms:created xsi:type="dcterms:W3CDTF">2026-06-19T00:11:37.648Z</dcterms:created>
  <dcterms:modified xsi:type="dcterms:W3CDTF">2026-06-19T00:11:37.648Z</dcterms:modified>
</cp:coreProperties>
</file>

<file path=docProps/custom.xml><?xml version="1.0" encoding="utf-8"?>
<Properties xmlns="http://schemas.openxmlformats.org/officeDocument/2006/custom-properties" xmlns:vt="http://schemas.openxmlformats.org/officeDocument/2006/docPropsVTypes"/>
</file>