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80"/>
      </w:pPr>
      <w:r>
        <w:rPr>
          <w:b/>
          <w:bCs/>
          <w:color w:val="0F172A"/>
        </w:rPr>
        <w:t xml:space="preserve">L&amp;D Training Effectiveness Report — 2026-Q1</w:t>
      </w:r>
    </w:p>
    <w:p>
      <w:pPr>
        <w:spacing w:after="120"/>
      </w:pPr>
      <w:r>
        <w:rPr>
          <w:color w:val="64748B"/>
        </w:rPr>
        <w:t xml:space="preserve">Period 2026-Q1</w:t>
      </w:r>
    </w:p>
    <w:p>
      <w:pPr>
        <w:spacing w:after="120"/>
      </w:pPr>
      <w:r>
        <w:rPr>
          <w:color w:val="64748B"/>
        </w:rPr>
        <w:t xml:space="preserve">Audience: L&amp;D Manager | Evidence: Passed | Status: Draft</w:t>
      </w:r>
    </w:p>
    <w:p>
      <w:pPr>
        <w:pStyle w:val="Heading1"/>
        <w:spacing w:after="120" w:before="280"/>
      </w:pPr>
      <w:r>
        <w:rPr>
          <w:b/>
          <w:bCs/>
          <w:color w:val="0F172A"/>
        </w:rPr>
        <w:t xml:space="preserve">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F8FAFC"/>
          </w:tcPr>
          <w:p>
            <w:pPr>
              <w:spacing w:after="120"/>
            </w:pPr>
            <w:r>
              <w:rPr>
                <w:b/>
                <w:bCs/>
                <w:color w:val="0F172A"/>
              </w:rPr>
              <w:t xml:space="preserve">Training effectiveness is strong with validated evidence.</w:t>
            </w:r>
          </w:p>
          <w:p>
            <w:pPr>
              <w:spacing w:after="120"/>
            </w:pPr>
            <w:r>
              <w:rPr>
                <w:color w:val="0F172A"/>
              </w:rPr>
              <w:t xml:space="preserve">The selected scope contains 3 course(s), 3 completed course(s), and 59 trainee-course records. Overall attendance is 92.9%, completion is 98.3%, pass rate is 89.8%, and average score is 7.59/10. Total training hours are 848 and scaled cost is 32. Overall effectiveness classification is Risk. Management interpretation: The training program for Q1 2026 included three completed courses with a total of 59 trainees. The overall attendance rate was 92.9%, and the completion rate reached 98.3%. However, the pass rate of 89.8% indicates some challenges in trainee performance, particularly in the Automation Testing course, which has been flagged for individual support needs. The overall effectiveness classification is categorized as Risk, suggesting that while attendance and completion are high, the effectiveness of the training could be improved.</w:t>
            </w:r>
          </w:p>
        </w:tc>
      </w:tr>
    </w:tbl>
    <w:p>
      <w:pPr>
        <w:spacing w:after="120"/>
      </w:pPr>
      <w:r>
        <w:rPr>
          <w:color w:val="0F172A"/>
        </w:rPr>
        <w:t xml:space="preserve">Final conclusion is allowed. Overall classification is Risk.</w:t>
      </w:r>
    </w:p>
    <w:p>
      <w:pPr>
        <w:pStyle w:val="Heading1"/>
        <w:spacing w:after="120" w:before="280"/>
      </w:pPr>
      <w:r>
        <w:rPr>
          <w:b/>
          <w:bCs/>
          <w:color w:val="0F172A"/>
        </w:rPr>
        <w:t xml:space="preserve">Performance scorecard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Metric</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Value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Target</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Status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Meaning</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Attendance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92.9%</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85%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Good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Learner attendance across validated sessions.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Completion</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98.3%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90%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Excellent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Completion is based on attendance &gt;= 70%, separate from pass rate.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Pass rate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89.8%</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80%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Good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Assessment achievement against course pass threshold.</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Avg score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7.59/10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Threshold 6.5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Good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Average assessment score from validated records.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Satisfaction</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4.48/5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4.0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Good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Combined trainer and content feedback rating.</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Training hours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848</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Total attended training hours.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Cost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32</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Scaled cost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Scaled cost signal for relative comparison.</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ROI proxy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0.0683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Relative KPI</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Monitor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Proxy metric using post-training performance delta and scaled cost.</w:t>
            </w:r>
          </w:p>
        </w:tc>
      </w:tr>
    </w:tbl>
    <w:p>
      <w:pPr>
        <w:pStyle w:val="Heading1"/>
        <w:spacing w:after="120" w:before="280"/>
      </w:pPr>
      <w:r>
        <w:rPr>
          <w:b/>
          <w:bCs/>
          <w:color w:val="0F172A"/>
        </w:rPr>
        <w:t xml:space="preserve">Key findings</w:t>
      </w:r>
    </w:p>
    <w:p>
      <w:pPr>
        <w:pStyle w:val="ListParagraph"/>
        <w:numPr>
          <w:ilvl w:val="0"/>
          <w:numId w:val="1"/>
        </w:numPr>
        <w:spacing w:after="80"/>
      </w:pPr>
      <w:r>
        <w:rPr>
          <w:b/>
          <w:bCs/>
          <w:color w:val="0F172A"/>
        </w:rPr>
        <w:t xml:space="preserve">Strong completion outcome at 98.3% (Excellent)</w:t>
      </w:r>
    </w:p>
    <w:p>
      <w:pPr>
        <w:spacing w:after="120"/>
      </w:pPr>
      <w:r>
        <w:rPr>
          <w:color w:val="0F172A"/>
        </w:rPr>
        <w:t xml:space="preserve">Evidence: Completion is calculated as attendance &gt;= 70%; pass rate is tracked separately at 89.8%.</w:t>
      </w:r>
    </w:p>
    <w:p>
      <w:pPr>
        <w:spacing w:after="120"/>
      </w:pPr>
      <w:r>
        <w:rPr>
          <w:color w:val="0F172A"/>
        </w:rPr>
        <w:t xml:space="preserve">Implication: Learners are completing the required session exposure, and assessment achievement is also healthy.</w:t>
      </w:r>
    </w:p>
    <w:p>
      <w:pPr>
        <w:pStyle w:val="ListParagraph"/>
        <w:numPr>
          <w:ilvl w:val="0"/>
          <w:numId w:val="1"/>
        </w:numPr>
        <w:spacing w:after="80"/>
      </w:pPr>
      <w:r>
        <w:rPr>
          <w:b/>
          <w:bCs/>
          <w:color w:val="0F172A"/>
        </w:rPr>
        <w:t xml:space="preserve">Overall effectiveness score is 88.23 (Risk)</w:t>
      </w:r>
    </w:p>
    <w:p>
      <w:pPr>
        <w:spacing w:after="120"/>
      </w:pPr>
      <w:r>
        <w:rPr>
          <w:color w:val="0F172A"/>
        </w:rPr>
        <w:t xml:space="preserve">Evidence: Attendance 92.9%, pass rate 89.8%, average score 7.59/10.</w:t>
      </w:r>
    </w:p>
    <w:p>
      <w:pPr>
        <w:spacing w:after="120"/>
      </w:pPr>
      <w:r>
        <w:rPr>
          <w:color w:val="0F172A"/>
        </w:rPr>
        <w:t xml:space="preserve">Implication: The selected scope is classified as Risk.</w:t>
      </w:r>
    </w:p>
    <w:p>
      <w:pPr>
        <w:pStyle w:val="ListParagraph"/>
        <w:numPr>
          <w:ilvl w:val="0"/>
          <w:numId w:val="1"/>
        </w:numPr>
        <w:spacing w:after="80"/>
      </w:pPr>
      <w:r>
        <w:rPr>
          <w:b/>
          <w:bCs/>
          <w:color w:val="0F172A"/>
        </w:rPr>
        <w:t xml:space="preserve">DevOps Fundamentals: CI/CD, K8s, Monitoring has the strongest effectiveness score (92.28) in the selected scop (Good)</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ListParagraph"/>
        <w:numPr>
          <w:ilvl w:val="0"/>
          <w:numId w:val="1"/>
        </w:numPr>
        <w:spacing w:after="80"/>
      </w:pPr>
      <w:r>
        <w:rPr>
          <w:b/>
          <w:bCs/>
          <w:color w:val="0F172A"/>
        </w:rPr>
        <w:t xml:space="preserve">AWS Cloud Architecture &amp; Services needs attention with effectiveness score 85.76, attendance 93.3%, and pass r (Monitor)</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ListParagraph"/>
        <w:numPr>
          <w:ilvl w:val="0"/>
          <w:numId w:val="1"/>
        </w:numPr>
        <w:spacing w:after="80"/>
      </w:pPr>
      <w:r>
        <w:rPr>
          <w:b/>
          <w:bCs/>
          <w:color w:val="0F172A"/>
        </w:rPr>
        <w:t xml:space="preserve">8 outstanding trainee(s) meet the star learner rule: score &gt;= 9.0 and full attendance. (Good)</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ListParagraph"/>
        <w:numPr>
          <w:ilvl w:val="0"/>
          <w:numId w:val="1"/>
        </w:numPr>
        <w:spacing w:after="80"/>
      </w:pPr>
      <w:r>
        <w:rPr>
          <w:b/>
          <w:bCs/>
          <w:color w:val="0F172A"/>
        </w:rPr>
        <w:t xml:space="preserve">2 course group(s) contain learners who need support based on score or attendance policy. (Monitor)</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Heading1"/>
        <w:spacing w:after="120" w:before="280"/>
      </w:pPr>
      <w:r>
        <w:rPr>
          <w:b/>
          <w:bCs/>
          <w:color w:val="0F172A"/>
        </w:rPr>
        <w:t xml:space="preserve">Recommendations and owners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Priority</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Owner</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Action</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Expected outcome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learner recovery and reduce support-needed cases.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learner recovery and reduce support-needed cases.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Team Manager + L&amp;D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Create a coaching plan for support-needed learners and review attendance issues with direct managers.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learner recovery and reduce support-needed cases.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To enhance training effectiveness, it is recommended to implement targeted coaching for trainees identified as needing additional support, particularly in the Automation Testing course.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learner recovery and reduce support-needed cases.</w:t>
            </w:r>
          </w:p>
        </w:tc>
      </w:tr>
    </w:tbl>
    <w:p>
      <w:pPr>
        <w:pStyle w:val="Heading1"/>
        <w:spacing w:after="120" w:before="280"/>
      </w:pPr>
      <w:r>
        <w:rPr>
          <w:b/>
          <w:bCs/>
          <w:color w:val="0F172A"/>
        </w:rPr>
        <w:t xml:space="preserve">Course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Course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Learners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Attendance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Completion</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Pass rate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Score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Effectiveness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Automation Testing with Playwright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37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91.9%</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97.3%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89.2%</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7.59/10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86.66</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DevOps Fundamentals: CI/CD, K8s, Monitoring</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96%</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100%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100%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7.89/10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92.28</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AWS Cloud Architecture &amp; Services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12</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93.3%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100%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83.3%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7.32/10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85.76</w:t>
            </w:r>
          </w:p>
        </w:tc>
      </w:tr>
    </w:tbl>
    <w:p>
      <w:pPr>
        <w:pStyle w:val="Heading1"/>
        <w:spacing w:after="120" w:before="280"/>
      </w:pPr>
      <w:r>
        <w:rPr>
          <w:b/>
          <w:bCs/>
          <w:color w:val="0F172A"/>
        </w:rPr>
        <w:t xml:space="preserve">Readiness and evidence</w:t>
      </w:r>
    </w:p>
    <w:p>
      <w:pPr>
        <w:spacing w:after="120"/>
      </w:pPr>
      <w:r>
        <w:rPr>
          <w:color w:val="0F172A"/>
        </w:rPr>
        <w:t xml:space="preserve">Final conclusion: Allowed</w:t>
      </w:r>
    </w:p>
    <w:p>
      <w:pPr>
        <w:spacing w:after="120"/>
      </w:pPr>
      <w:r>
        <w:rPr>
          <w:color w:val="0F172A"/>
        </w:rPr>
        <w:t xml:space="preserve">Missing evidence: 0; warnings: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Check</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Status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Detail</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Source availability and required columns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Teams, OneDrive, Forms, KPI, Rules and Template sheets were mapped to simulated 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Course status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All selected courses are completed.</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Attendance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Expected attendance rows are trainee count × total sessions. Late is retained for metrics as partial attendance.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Assessment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Completed courses require one assessment/pass-status row per trainee.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Feedback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NORM-14 requires at least 60% feedback response rate for valid analysis.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Consistency: course ID, trainee ID, period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Cross-source course IDs and pass-status logic were checked against the catalog.</w:t>
            </w:r>
          </w:p>
        </w:tc>
      </w:tr>
    </w:tbl>
    <w:p>
      <w:pPr>
        <w:pStyle w:val="Heading1"/>
        <w:spacing w:after="120" w:before="280"/>
      </w:pPr>
      <w:r>
        <w:rPr>
          <w:b/>
          <w:bCs/>
          <w:color w:val="0F172A"/>
        </w:rPr>
        <w:t xml:space="preserve">Governance and access</w:t>
      </w:r>
    </w:p>
    <w:p>
      <w:pPr>
        <w:spacing w:after="120"/>
      </w:pPr>
      <w:r>
        <w:rPr>
          <w:color w:val="0F172A"/>
        </w:rPr>
        <w:t xml:space="preserve">Classification: Risk</w:t>
      </w:r>
    </w:p>
    <w:p>
      <w:pPr>
        <w:spacing w:after="120"/>
      </w:pPr>
      <w:r>
        <w:rPr>
          <w:color w:val="0F172A"/>
        </w:rPr>
        <w:t xml:space="preserve">Sensitive details: Visible; raw appendix: Allowed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Rule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Priority</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Message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Action</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has zero score or missing assessment.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NORM-04</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Medium</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passed with low attendance.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L&amp;D review; verify with manager</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bl>
    <w:p>
      <w:pPr>
        <w:pStyle w:val="Heading1"/>
        <w:spacing w:after="120" w:before="280"/>
      </w:pPr>
      <w:r>
        <w:rPr>
          <w:b/>
          <w:bCs/>
          <w:color w:val="0F172A"/>
        </w:rPr>
        <w:t xml:space="preserve">Appendix</w:t>
      </w:r>
    </w:p>
    <w:p>
      <w:pPr>
        <w:pStyle w:val="ListParagraph"/>
        <w:numPr>
          <w:ilvl w:val="0"/>
          <w:numId w:val="1"/>
        </w:numPr>
        <w:spacing w:after="80"/>
      </w:pPr>
      <w:r>
        <w:rPr>
          <w:b w:val="false"/>
          <w:bCs w:val="false"/>
          <w:color w:val="0F172A"/>
        </w:rPr>
        <w:t xml:space="preserve">Report ID: rpt_6276182c-3142-4c55-94cf-48e0698b213c</w:t>
      </w:r>
    </w:p>
    <w:p>
      <w:pPr>
        <w:pStyle w:val="ListParagraph"/>
        <w:numPr>
          <w:ilvl w:val="0"/>
          <w:numId w:val="1"/>
        </w:numPr>
        <w:spacing w:after="80"/>
      </w:pPr>
      <w:r>
        <w:rPr>
          <w:b w:val="false"/>
          <w:bCs w:val="false"/>
          <w:color w:val="0F172A"/>
        </w:rPr>
        <w:t xml:space="preserve">Dataset ID: ds_4328155faaf3dc2a</w:t>
      </w:r>
    </w:p>
    <w:p>
      <w:pPr>
        <w:pStyle w:val="ListParagraph"/>
        <w:numPr>
          <w:ilvl w:val="0"/>
          <w:numId w:val="1"/>
        </w:numPr>
        <w:spacing w:after="80"/>
      </w:pPr>
      <w:r>
        <w:rPr>
          <w:b w:val="false"/>
          <w:bCs w:val="false"/>
          <w:color w:val="0F172A"/>
        </w:rPr>
        <w:t xml:space="preserve">Metrics snapshot ID: mx_678807f7-cdde-4558-8fe4-f039fd13da3f</w:t>
      </w:r>
    </w:p>
    <w:p>
      <w:pPr>
        <w:pStyle w:val="ListParagraph"/>
        <w:numPr>
          <w:ilvl w:val="0"/>
          <w:numId w:val="1"/>
        </w:numPr>
        <w:spacing w:after="80"/>
      </w:pPr>
      <w:r>
        <w:rPr>
          <w:b w:val="false"/>
          <w:bCs w:val="false"/>
          <w:color w:val="0F172A"/>
        </w:rPr>
        <w:t xml:space="preserve">Evidence decision ID: ev_833940b7-31ff-4760-a55e-3fd06cb71e64</w:t>
      </w:r>
    </w:p>
    <w:p>
      <w:pPr>
        <w:pStyle w:val="ListParagraph"/>
        <w:numPr>
          <w:ilvl w:val="0"/>
          <w:numId w:val="1"/>
        </w:numPr>
        <w:spacing w:after="80"/>
      </w:pPr>
      <w:r>
        <w:rPr>
          <w:b w:val="false"/>
          <w:bCs w:val="false"/>
          <w:color w:val="0F172A"/>
        </w:rPr>
        <w:t xml:space="preserve">Governance view ID: gv_428089f6-07f5-44a5-b0f8-adbf1d4fdc54</w:t>
      </w:r>
    </w:p>
    <w:p>
      <w:pPr>
        <w:pStyle w:val="ListParagraph"/>
        <w:numPr>
          <w:ilvl w:val="0"/>
          <w:numId w:val="1"/>
        </w:numPr>
        <w:spacing w:after="80"/>
      </w:pPr>
      <w:r>
        <w:rPr>
          <w:b w:val="false"/>
          <w:bCs w:val="false"/>
          <w:color w:val="0F172A"/>
        </w:rPr>
        <w:t xml:space="preserve">Role view: L&amp;D Manager</w:t>
      </w:r>
    </w:p>
    <w:p>
      <w:pPr>
        <w:pStyle w:val="ListParagraph"/>
        <w:numPr>
          <w:ilvl w:val="0"/>
          <w:numId w:val="1"/>
        </w:numPr>
        <w:spacing w:after="80"/>
      </w:pPr>
      <w:r>
        <w:rPr>
          <w:b w:val="false"/>
          <w:bCs w:val="false"/>
          <w:color w:val="0F172A"/>
        </w:rPr>
        <w:t xml:space="preserve">Sensitive details: visible</w:t>
      </w:r>
    </w:p>
    <w:p>
      <w:pPr>
        <w:spacing w:after="120"/>
      </w:pPr>
      <w:r>
        <w:rPr>
          <w:color w:val="64748B"/>
        </w:rPr>
        <w:t xml:space="preserve">OpenAI gpt-4o-mini enriched narrative fields. Numeric metrics remain deterministic.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L&amp;D Training Effectiveness Report — 2026-Q1</dc:title>
  <dc:creator>SETA L&amp;D Reporting Agent</dc:creator>
  <dc:description>Training effectiveness is strong with validated evidence.</dc:description>
  <cp:lastModifiedBy>Un-named</cp:lastModifiedBy>
  <cp:revision>1</cp:revision>
  <dcterms:created xsi:type="dcterms:W3CDTF">2026-06-17T07:15:45.785Z</dcterms:created>
  <dcterms:modified xsi:type="dcterms:W3CDTF">2026-06-17T07:15:45.785Z</dcterms:modified>
</cp:coreProperties>
</file>

<file path=docProps/custom.xml><?xml version="1.0" encoding="utf-8"?>
<Properties xmlns="http://schemas.openxmlformats.org/officeDocument/2006/custom-properties" xmlns:vt="http://schemas.openxmlformats.org/officeDocument/2006/docPropsVTypes"/>
</file>