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- 2026-Q1</w:t>
      </w:r>
    </w:p>
    <w:p>
      <w:pPr>
        <w:spacing w:after="120"/>
      </w:pPr>
      <w:r>
        <w:rPr>
          <w:color w:val="64748B"/>
        </w:rPr>
        <w:t xml:space="preserve">Period 2026-Q1 | Type full</w:t>
      </w:r>
    </w:p>
    <w:p>
      <w:pPr>
        <w:spacing w:after="120"/>
      </w:pPr>
      <w:r>
        <w:rPr>
          <w:color w:val="64748B"/>
        </w:rPr>
        <w:t xml:space="preserve">Audience: L&amp;D Manager | Evidence: Passed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Training effectiveness is strong with validated evidence.</w:t>
            </w:r>
          </w:p>
          <w:p>
            <w:pPr>
              <w:spacing w:after="120"/>
            </w:pPr>
            <w:r>
              <w:rPr>
                <w:color w:val="0F172A"/>
              </w:rPr>
              <w:t xml:space="preserve">The selected scope contains 3 course(s), 3 completed course(s), and 59 trainee-course records. Overall attendance is 92.9%, completion is 98.3%, pass rate is 89.8%, and average score is 7.59/10. Total training hours are 848 and scaled cost is 32. Overall effectiveness classification is Risk. Management interpretation: The training program for Q1 2026 included three courses, all of which were completed by a total of 59 trainees. The overall attendance rate was high at 92.9%, with a completion rate of 98.3%. However, the pass rate of 89.8% indicates that some trainees did not meet the required performance standards, contributing to an overall effectiveness classification of Risk. The average score across all courses was 7.59 out of 10, and the feedback rating averaged 4.48 out of 5, suggesting positive reception but highlighting areas for improvement.</w:t>
            </w:r>
          </w:p>
        </w:tc>
      </w:tr>
    </w:tbl>
    <w:p>
      <w:pPr>
        <w:spacing w:after="120"/>
      </w:pPr>
      <w:r>
        <w:rPr>
          <w:color w:val="0F172A"/>
        </w:rPr>
        <w:t xml:space="preserve">Final conclusion is allowed. Overall classification is Risk.</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Excellent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4.48/5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848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0.0683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Monitor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98.3% (Excellent)</w:t>
      </w:r>
    </w:p>
    <w:p>
      <w:pPr>
        <w:spacing w:after="120"/>
      </w:pPr>
      <w:r>
        <w:rPr>
          <w:color w:val="0F172A"/>
        </w:rPr>
        <w:t xml:space="preserve">Evidence: Completion is calculated as attendance &gt;= 70%; pass rate is tracked separately at 89.8%.</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88.23 (Risk)</w:t>
      </w:r>
    </w:p>
    <w:p>
      <w:pPr>
        <w:spacing w:after="120"/>
      </w:pPr>
      <w:r>
        <w:rPr>
          <w:color w:val="0F172A"/>
        </w:rPr>
        <w:t xml:space="preserve">Evidence: Attendance 92.9%, pass rate 89.8%, average score 7.59/10.</w:t>
      </w:r>
    </w:p>
    <w:p>
      <w:pPr>
        <w:spacing w:after="120"/>
      </w:pPr>
      <w:r>
        <w:rPr>
          <w:color w:val="0F172A"/>
        </w:rPr>
        <w:t xml:space="preserve">Implication: The selected scope is classified as Risk.</w:t>
      </w:r>
    </w:p>
    <w:p>
      <w:pPr>
        <w:pStyle w:val="ListParagraph"/>
        <w:numPr>
          <w:ilvl w:val="0"/>
          <w:numId w:val="1"/>
        </w:numPr>
        <w:spacing w:after="80"/>
      </w:pPr>
      <w:r>
        <w:rPr>
          <w:b/>
          <w:bCs/>
          <w:color w:val="0F172A"/>
        </w:rPr>
        <w:t xml:space="preserve">DevOps Fundamentals: CI/CD, K8s, Monitoring has the strongest effectiveness score (92.28) in the selected scop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AWS Cloud Architecture &amp; Services needs attention with effectiveness score 85.76, attendance 93.3%, and pass r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7 high-priority L&amp;D NORM flags were triggered.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The feedback ratings suggest that while the courses are generally well-received, there are specific areas wher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Assign a coaching owner, buddy support, and targeted practice resources for the flagged learner.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incomplete learner records for review and schedule re-enrollment in the next suitable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Additionally, a review of course content and delivery methods should be conducted to address the low pass rates and enhance overall effectiveness.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Automation Testing with Playwright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91.9%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97.3%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86.66</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DevOps Fundamentals: CI/CD, K8s, Monitoring</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96%</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7.89/10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92.28</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AWS Cloud Architecture &amp; Services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7.32/10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85.76</w:t>
            </w:r>
          </w:p>
        </w:tc>
      </w:tr>
    </w:tbl>
    <w:p>
      <w:pPr>
        <w:pStyle w:val="Heading1"/>
        <w:spacing w:after="120" w:before="280"/>
      </w:pPr>
      <w:r>
        <w:rPr>
          <w:b/>
          <w:bCs/>
          <w:color w:val="0F172A"/>
        </w:rPr>
        <w:t xml:space="preserve">Readiness and evidence</w:t>
      </w:r>
    </w:p>
    <w:p>
      <w:pPr>
        <w:spacing w:after="120"/>
      </w:pPr>
      <w:r>
        <w:rPr>
          <w:color w:val="0F172A"/>
        </w:rPr>
        <w:t xml:space="preserve">Final conclusion: Allowed</w:t>
      </w:r>
    </w:p>
    <w:p>
      <w:pPr>
        <w:spacing w:after="120"/>
      </w:pPr>
      <w:r>
        <w:rPr>
          <w:color w:val="0F172A"/>
        </w:rPr>
        <w:t xml:space="preserve">Missing evidence: 0; warnings: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Teams, OneDrive, Forms, KPI, Rules and Template sheets were mapped to simulated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All selected courses are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assessment/pass-status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trainee ID, period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Risk</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NORM-04</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passed with low 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L&amp;D review; verify with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rpt_7fb93e37-57ea-4494-af11-8472b0a93a80</w:t>
      </w:r>
    </w:p>
    <w:p>
      <w:pPr>
        <w:pStyle w:val="ListParagraph"/>
        <w:numPr>
          <w:ilvl w:val="0"/>
          <w:numId w:val="1"/>
        </w:numPr>
        <w:spacing w:after="80"/>
      </w:pPr>
      <w:r>
        <w:rPr>
          <w:b w:val="false"/>
          <w:bCs w:val="false"/>
          <w:color w:val="0F172A"/>
        </w:rPr>
        <w:t xml:space="preserve">Dataset ID: ds_95133ff73ffc176e</w:t>
      </w:r>
    </w:p>
    <w:p>
      <w:pPr>
        <w:pStyle w:val="ListParagraph"/>
        <w:numPr>
          <w:ilvl w:val="0"/>
          <w:numId w:val="1"/>
        </w:numPr>
        <w:spacing w:after="80"/>
      </w:pPr>
      <w:r>
        <w:rPr>
          <w:b w:val="false"/>
          <w:bCs w:val="false"/>
          <w:color w:val="0F172A"/>
        </w:rPr>
        <w:t xml:space="preserve">Metrics snapshot ID: mx_bea95a2a-eae0-4428-a888-d4111ac60a9d</w:t>
      </w:r>
    </w:p>
    <w:p>
      <w:pPr>
        <w:pStyle w:val="ListParagraph"/>
        <w:numPr>
          <w:ilvl w:val="0"/>
          <w:numId w:val="1"/>
        </w:numPr>
        <w:spacing w:after="80"/>
      </w:pPr>
      <w:r>
        <w:rPr>
          <w:b w:val="false"/>
          <w:bCs w:val="false"/>
          <w:color w:val="0F172A"/>
        </w:rPr>
        <w:t xml:space="preserve">Evidence decision ID: ev_cc7282b0-9029-41fa-8cfe-93e0e15dca31</w:t>
      </w:r>
    </w:p>
    <w:p>
      <w:pPr>
        <w:pStyle w:val="ListParagraph"/>
        <w:numPr>
          <w:ilvl w:val="0"/>
          <w:numId w:val="1"/>
        </w:numPr>
        <w:spacing w:after="80"/>
      </w:pPr>
      <w:r>
        <w:rPr>
          <w:b w:val="false"/>
          <w:bCs w:val="false"/>
          <w:color w:val="0F172A"/>
        </w:rPr>
        <w:t xml:space="preserve">Governance view ID: gv_efe75b22-9dc2-4aed-9ac3-c3d2e6a8ed33</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- 2026-Q1</dc:title>
  <dc:creator>SETA L&amp;D Reporting Agent</dc:creator>
  <dc:description>Training effectiveness is strong with validated evidence.</dc:description>
  <cp:lastModifiedBy>Un-named</cp:lastModifiedBy>
  <cp:revision>1</cp:revision>
  <dcterms:created xsi:type="dcterms:W3CDTF">2026-06-19T11:46:41.208Z</dcterms:created>
  <dcterms:modified xsi:type="dcterms:W3CDTF">2026-06-19T11:46:41.208Z</dcterms:modified>
</cp:coreProperties>
</file>

<file path=docProps/custom.xml><?xml version="1.0" encoding="utf-8"?>
<Properties xmlns="http://schemas.openxmlformats.org/officeDocument/2006/custom-properties" xmlns:vt="http://schemas.openxmlformats.org/officeDocument/2006/docPropsVTypes"/>
</file>