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AIAgent_05_2026</w:t>
      </w:r>
    </w:p>
    <w:p>
      <w:pPr>
        <w:spacing w:after="120"/>
      </w:pPr>
      <w:r>
        <w:rPr>
          <w:color w:val="64748B"/>
        </w:rPr>
        <w:t xml:space="preserve">Period 2026-Q2 | Course AIAgent_05_2026 | Type full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program for the course 'AI Agent &amp; LLM Application Development' has shown strong metrics with a 100% completion rate and a 92.3% pass rate among 13 trainees. However, the overall effectiveness classification is marked as Risk, indicating potential areas for improvement despite high attendance and average scores.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the strongest effectiveness score (89.47)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flag(s)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Implement 1:1 coaching for the identified trainee who requires additional support to meet the pass threshold.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Consider enhancing course content or delivery methods to address the effectiveness classification marked as Risk.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 feedback responses closely to ensure continued engagement and satisfaction with the training program.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rpt_983ad830-ae1e-4fd2-8cbe-bfcf91511dbf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ds_40b5b3f4ff72ee81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mx_bd708ad9-8d02-473d-b137-c21cfd05c187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ev_96a55b95-b463-466b-ae0a-dcf6e23dc838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gv_4192b29a-9843-43a2-8961-2c4a86bff4f5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2026-06-17T07:04:19.377Z</dcterms:created>
  <dcterms:modified xsi:type="dcterms:W3CDTF">2026-06-17T07:04:19.377Z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