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- 2026-Q1</w:t>
      </w:r>
    </w:p>
    <w:p>
      <w:pPr>
        <w:spacing w:after="120"/>
      </w:pPr>
      <w:r>
        <w:rPr>
          <w:color w:val="64748B"/>
        </w:rPr>
        <w:t xml:space="preserve">Period 2026-Q1</w:t>
      </w:r>
    </w:p>
    <w:p>
      <w:pPr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98.3% (Excellent)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89.8%.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88.23 (Risk)</w:t>
      </w:r>
    </w:p>
    <w:p>
      <w:pPr>
        <w:spacing w:after="120"/>
      </w:pPr>
      <w:r>
        <w:rPr>
          <w:color w:val="0F172A"/>
        </w:rPr>
        <w:t xml:space="preserve">Evidence: Attendance 92.9%, pass rate 89.8%, average score 7.59/10.</w:t>
      </w:r>
    </w:p>
    <w:p>
      <w:pPr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the strongest effectiveness score (92.28) in the selected scop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needs attention with effectiveness score 85.76, attendance 93.3%, and pass r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8 outstanding trainees met the star learner rule: score &gt;= 9.0 and full attendance.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course groups contained learners who need support based on score or attendance policy.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incomplete learner records for review and schedule re-enrollment in the next suitable cohort.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86.66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Allowed</w:t>
      </w:r>
    </w:p>
    <w:p>
      <w:pPr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Risk</w:t>
      </w:r>
    </w:p>
    <w:p>
      <w:pPr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L&amp;D review; verify with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rpt_41767d2f-05d1-4c9c-9d80-a846b8dd22c9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ds_7833423371e7dec8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mx_e75b0c56-2697-4722-b688-594c0a52ae9b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ev_99dbbfca-1561-4623-8191-ea8dfdd482ad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gv_586190c6-8ff6-4d06-8e38-0daef7e27208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2026-06-21T12:20:39.750Z</dcterms:created>
  <dcterms:modified xsi:type="dcterms:W3CDTF">2026-06-21T12:20:39.750Z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