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THIẾT KẾ TỔNG THỂ HỆ THỐNG IMS</w:t>
      </w:r>
    </w:p>
    <w:p>
      <w:r>
        <w:t>Tập đoàn Bưu chính Viễn thông Việt Nam (VNPT)</w:t>
      </w:r>
    </w:p>
    <w:p>
      <w:r>
        <w:t>Phiên bản: 1.0 | Trạng thái: Đã ban hành | Ngày: 26/08/2026</w:t>
      </w:r>
    </w:p>
    <w:p>
      <w:pPr>
        <w:pStyle w:val="Heading2"/>
      </w:pPr>
      <w:r>
        <w:t>1. Tổng quan và Phạm vi</w:t>
      </w:r>
    </w:p>
    <w:p>
      <w:r>
        <w:t>Hệ thống Quản lý Đầu tư Xây dựng (IMS) là hệ thống cốt lõi quản lý toàn trình dự án đầu tư.</w:t>
      </w:r>
    </w:p>
    <w:p>
      <w:pPr>
        <w:pStyle w:val="Heading2"/>
      </w:pPr>
      <w:r>
        <w:t>2. Kiến trúc hệ thống</w:t>
      </w:r>
    </w:p>
    <w:p>
      <w:pPr>
        <w:pStyle w:val="Heading3"/>
      </w:pPr>
      <w:r>
        <w:t>2.1. Kiến trúc ứng dụng</w:t>
      </w:r>
    </w:p>
    <w:p>
      <w:r>
        <w:t>Kiến trúc ứng dụng phân tầng Microservices kết nối qua API Gateway.</w:t>
      </w:r>
    </w:p>
    <w:p>
      <w:pPr>
        <w:pStyle w:val="Heading3"/>
      </w:pPr>
      <w:r>
        <w:t>2.2. Kiến trúc tích hợp</w:t>
      </w:r>
    </w:p>
    <w:p>
      <w:r>
        <w:t>Hệ thống IMS tích hợp với SAP ERP, CRM và PMIS thông qua Enterprise Service Bus (ESB).</w:t>
      </w:r>
    </w:p>
    <w:p>
      <w:pPr>
        <w:pStyle w:val="Heading2"/>
      </w:pPr>
      <w:r>
        <w:t>3. Các phân hệ chức năng</w:t>
      </w:r>
    </w:p>
    <w:p>
      <w:pPr>
        <w:pStyle w:val="Heading3"/>
      </w:pPr>
      <w:r>
        <w:t>3.1. Quản lý chủ trương đầu tư</w:t>
      </w:r>
    </w:p>
    <w:p>
      <w:r>
        <w:t>Tiếp nhận và thẩm định chủ trương đầu tư các dự án hạ tầng mạng viễn thông.</w:t>
      </w:r>
    </w:p>
    <w:p>
      <w:pPr>
        <w:pStyle w:val="Heading3"/>
      </w:pPr>
      <w:r>
        <w:t>3.2. Quản lý dự án</w:t>
      </w:r>
    </w:p>
    <w:p>
      <w:r>
        <w:t>Theo dõi tiến độ thực hiện dự án, quản lý hợp đồng và nghiệm thu kỹ thuật.</w:t>
      </w:r>
    </w:p>
    <w:p>
      <w:pPr>
        <w:pStyle w:val="Heading3"/>
      </w:pPr>
      <w:r>
        <w:t>3.3. Quản lý kế hoạch vốn</w:t>
      </w:r>
    </w:p>
    <w:p>
      <w:r>
        <w:t>IMS có chức năng quản lý kế hoạch vốn đầu tư trung hạn và hàng năm, theo dõi giải ngân thanh toán vốn đầu tư.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Chức năng</w:t>
            </w:r>
          </w:p>
        </w:tc>
        <w:tc>
          <w:tcPr>
            <w:tcW w:type="dxa" w:w="2160"/>
          </w:tcPr>
          <w:p>
            <w:r>
              <w:t>Mô tả nghiệp vụ</w:t>
            </w:r>
          </w:p>
        </w:tc>
        <w:tc>
          <w:tcPr>
            <w:tcW w:type="dxa" w:w="2160"/>
          </w:tcPr>
          <w:p>
            <w:r>
              <w:t>Đơn vị thực hiện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Quản lý dự án</w:t>
            </w:r>
          </w:p>
        </w:tc>
        <w:tc>
          <w:tcPr>
            <w:tcW w:type="dxa" w:w="2160"/>
          </w:tcPr>
          <w:p>
            <w:r>
              <w:t>Quản lý thông tin và tiến độ dự án</w:t>
            </w:r>
          </w:p>
        </w:tc>
        <w:tc>
          <w:tcPr>
            <w:tcW w:type="dxa" w:w="2160"/>
          </w:tcPr>
          <w:p>
            <w:r>
              <w:t>KHĐT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Kế hoạch vốn</w:t>
            </w:r>
          </w:p>
        </w:tc>
        <w:tc>
          <w:tcPr>
            <w:tcW w:type="dxa" w:w="2160"/>
          </w:tcPr>
          <w:p>
            <w:r>
              <w:t>Theo dõi kế hoạch vốn và thanh toán</w:t>
            </w:r>
          </w:p>
        </w:tc>
        <w:tc>
          <w:tcPr>
            <w:tcW w:type="dxa" w:w="2160"/>
          </w:tcPr>
          <w:p>
            <w:r>
              <w:t>KTTC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Nghiệm thu quyết toán</w:t>
            </w:r>
          </w:p>
        </w:tc>
        <w:tc>
          <w:tcPr>
            <w:tcW w:type="dxa" w:w="2160"/>
          </w:tcPr>
          <w:p>
            <w:r>
              <w:t>Hồ sơ nghiệm thu bàn giao tài sản</w:t>
            </w:r>
          </w:p>
        </w:tc>
        <w:tc>
          <w:tcPr>
            <w:tcW w:type="dxa" w:w="2160"/>
          </w:tcPr>
          <w:p>
            <w:r>
              <w:t>Ban QLDA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tổng thể hệ thống IMS</dc:title>
  <dc:subject/>
  <dc:creator>VNPT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