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480"/>
        <w:jc w:val="center"/>
      </w:pPr>
      <w:r>
        <w:rPr>
          <w:rFonts w:ascii="Arial" w:cs="Arial" w:eastAsia="Arial" w:hAnsi="Arial"/>
          <w:b/>
          <w:bCs/>
          <w:color w:val="1B4F8A"/>
          <w:sz w:val="72"/>
          <w:szCs w:val="72"/>
        </w:rPr>
        <w:t xml:space="preserve">SceneIQ</w:t>
      </w:r>
    </w:p>
    <w:p>
      <w:pPr>
        <w:spacing w:after="120" w:before="0"/>
        <w:jc w:val="center"/>
      </w:pPr>
      <w:r>
        <w:rPr>
          <w:rFonts w:ascii="Arial" w:cs="Arial" w:eastAsia="Arial" w:hAnsi="Arial"/>
          <w:color w:val="2E75B6"/>
          <w:sz w:val="32"/>
          <w:szCs w:val="32"/>
        </w:rPr>
        <w:t xml:space="preserve">Tax Incentive Intelligence for Film &amp; Television</w:t>
      </w:r>
    </w:p>
    <w:p>
      <w:pPr>
        <w:pBdr>
          <w:bottom w:val="single" w:color="2E75B6" w:sz="4" w:space="1"/>
        </w:pBdr>
        <w:spacing w:after="160" w:before="160"/>
      </w:pPr>
    </w:p>
    <w:p>
      <w:pPr>
        <w:spacing w:after="120" w:before="240"/>
        <w:jc w:val="center"/>
      </w:pPr>
      <w:r>
        <w:rPr>
          <w:rFonts w:ascii="Arial" w:cs="Arial" w:eastAsia="Arial" w:hAnsi="Arial"/>
          <w:color w:val="444444"/>
          <w:sz w:val="26"/>
          <w:szCs w:val="26"/>
        </w:rPr>
        <w:t xml:space="preserve">Platform Overview &amp; Producer Workflow Guide</w:t>
      </w:r>
    </w:p>
    <w:p>
      <w:pPr>
        <w:spacing w:after="480" w:before="120"/>
        <w:jc w:val="center"/>
      </w:pPr>
      <w:r>
        <w:rPr>
          <w:rFonts w:ascii="Arial" w:cs="Arial" w:eastAsia="Arial" w:hAnsi="Arial"/>
          <w:color w:val="888888"/>
          <w:sz w:val="22"/>
          <w:szCs w:val="22"/>
        </w:rPr>
        <w:t xml:space="preserve">Prepared for: Brian  |  May 2026</w:t>
      </w:r>
    </w:p>
    <w:p>
      <w:pPr>
        <w:spacing w:after="120" w:before="120"/>
      </w:pPr>
    </w:p>
    <w:p>
      <w:pPr>
        <w:spacing w:after="120" w:before="120"/>
      </w:pPr>
    </w:p>
    <w:p>
      <w:pPr>
        <w:spacing w:after="120" w:before="120"/>
      </w:pPr>
    </w:p>
    <w:p>
      <w:r>
        <w:br w:type="page"/>
      </w:r>
    </w:p>
    <w:p>
      <w:pPr>
        <w:pStyle w:val="Heading1"/>
        <w:spacing w:after="120" w:before="360"/>
      </w:pPr>
      <w:r>
        <w:rPr>
          <w:rFonts w:ascii="Arial" w:cs="Arial" w:eastAsia="Arial" w:hAnsi="Arial"/>
          <w:b/>
          <w:bCs/>
          <w:color w:val="1B4F8A"/>
          <w:sz w:val="32"/>
          <w:szCs w:val="32"/>
        </w:rPr>
        <w:t xml:space="preserve">What is SceneIQ?</w:t>
      </w:r>
    </w:p>
    <w:p>
      <w:pPr>
        <w:spacing w:after="80" w:before="80"/>
      </w:pPr>
      <w:r>
        <w:rPr>
          <w:rFonts w:ascii="Arial" w:cs="Arial" w:eastAsia="Arial" w:hAnsi="Arial"/>
          <w:sz w:val="22"/>
          <w:szCs w:val="22"/>
        </w:rPr>
        <w:t xml:space="preserve">SceneIQ is a full-stack compliance platform purpose-built for the global film and television industry. It helps producers, line producers, and production accountants discover, calculate, stack, and document tax incentive claims across US states, counties, and international jurisdictions.</w:t>
      </w:r>
    </w:p>
    <w:p>
      <w:pPr>
        <w:spacing w:after="120" w:before="120"/>
      </w:pPr>
    </w:p>
    <w:p>
      <w:pPr>
        <w:spacing w:after="80" w:before="80"/>
      </w:pPr>
      <w:r>
        <w:rPr>
          <w:rFonts w:ascii="Arial" w:cs="Arial" w:eastAsia="Arial" w:hAnsi="Arial"/>
          <w:sz w:val="22"/>
          <w:szCs w:val="22"/>
        </w:rPr>
        <w:t xml:space="preserve">The platform removes the manual, error-prone process of tracking incentive rules across dozens of jurisdictions and replaces it with an intelligent, automated workflow that connects production spend data to verified transmission records and generates audit-ready compliance reports.</w:t>
      </w:r>
    </w:p>
    <w:p>
      <w:pPr>
        <w:pBdr>
          <w:bottom w:val="single" w:color="2E75B6" w:sz="4" w:space="1"/>
        </w:pBdr>
        <w:spacing w:after="160" w:before="160"/>
      </w:pPr>
    </w:p>
    <w:p>
      <w:pPr>
        <w:pStyle w:val="Heading1"/>
        <w:spacing w:after="120" w:before="360"/>
      </w:pPr>
      <w:r>
        <w:rPr>
          <w:rFonts w:ascii="Arial" w:cs="Arial" w:eastAsia="Arial" w:hAnsi="Arial"/>
          <w:b/>
          <w:bCs/>
          <w:color w:val="1B4F8A"/>
          <w:sz w:val="32"/>
          <w:szCs w:val="32"/>
        </w:rPr>
        <w:t xml:space="preserve">Core Features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Dashboard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At-a-glance view of budget volume, estimated credits, active productions, and spend charts across all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Productions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manage film and TV productions linked to specific jurisdictions, budgets, and spend periods.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Incentive Calculator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Single-jurisdiction credit calculation based on qualified spend, rule thresholds, and current incentive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Scenario Calculator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comparison of 2 to 6 jurisdictions simultaneously. Stacks state and local incentives and highlights the best-value jurisdiction for each production profile.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AI Advisor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Claude-powered chat for real-time qualification guidance, stacking strategy advice, and rule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Jurisdictions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state and country jurisdictions with 35+ incentive rules, including 11 county and city sub-jurisdictions with additive stacking.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MMB Connector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CSV upload tool for Movie Magic Budgeting data. Maps spend categories to qualified and non-qualified buckets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Schedule Parser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Ingests broadcast schedule files (CSV, XML/BXF, JSON) and stores transmission records as verified evidence for compliance filings.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Local Rules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Approved county and city incentive rules extracted and reviewed before going live in the calculation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Rule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or reject AI-extracted incentive rules before they affect calculations.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Admin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and system management for team-based production environments.</w:t>
            </w:r>
          </w:p>
        </w:tc>
      </w:tr>
    </w:tbl>
    <w:p>
      <w:pPr>
        <w:spacing w:after="120" w:before="120"/>
      </w:pPr>
    </w:p>
    <w:p>
      <w:r>
        <w:br w:type="page"/>
      </w:r>
    </w:p>
    <w:p>
      <w:pPr>
        <w:pStyle w:val="Heading1"/>
        <w:spacing w:after="120" w:before="360"/>
      </w:pPr>
      <w:r>
        <w:rPr>
          <w:rFonts w:ascii="Arial" w:cs="Arial" w:eastAsia="Arial" w:hAnsi="Arial"/>
          <w:b/>
          <w:bCs/>
          <w:color w:val="1B4F8A"/>
          <w:sz w:val="32"/>
          <w:szCs w:val="32"/>
        </w:rPr>
        <w:t xml:space="preserve">Jurisdictions &amp; Stacking</w:t>
      </w:r>
    </w:p>
    <w:p>
      <w:pPr>
        <w:spacing w:after="80" w:before="80"/>
      </w:pPr>
      <w:r>
        <w:rPr>
          <w:rFonts w:ascii="Arial" w:cs="Arial" w:eastAsia="Arial" w:hAnsi="Arial"/>
          <w:sz w:val="22"/>
          <w:szCs w:val="22"/>
        </w:rPr>
        <w:t xml:space="preserve">SceneIQ covers 23 primary jurisdictions across US states and international territories, with 11 county and city sub-jurisdictions that stack additively on top of parent state rules.</w:t>
      </w:r>
    </w:p>
    <w:p>
      <w:pPr>
        <w:spacing w:after="120" w:before="120"/>
      </w:pPr>
    </w:p>
    <w:p>
      <w:pPr>
        <w:pStyle w:val="Heading2"/>
        <w:spacing w:after="100" w:before="240"/>
      </w:pPr>
      <w:r>
        <w:rPr>
          <w:rFonts w:ascii="Arial" w:cs="Arial" w:eastAsia="Arial" w:hAnsi="Arial"/>
          <w:b/>
          <w:bCs/>
          <w:color w:val="2E75B6"/>
          <w:sz w:val="26"/>
          <w:szCs w:val="26"/>
        </w:rPr>
        <w:t xml:space="preserve">Sub-Jurisdiction Stacking</w:t>
      </w:r>
    </w:p>
    <w:p>
      <w:pPr>
        <w:spacing w:after="80" w:before="80"/>
      </w:pPr>
      <w:r>
        <w:rPr>
          <w:rFonts w:ascii="Arial" w:cs="Arial" w:eastAsia="Arial" w:hAnsi="Arial"/>
          <w:sz w:val="22"/>
          <w:szCs w:val="22"/>
        </w:rPr>
        <w:t xml:space="preserve">The following county and city jurisdictions can be stacked on top of their parent state credit: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CA-LA</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 Angeles County — stacks on California base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IL-COOK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 County (Chicago) — stacks on Illinois base credit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NY-NYC</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 York City (all five boroughs) — stacks on New York base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NY-BROOKLYN / NY-QUEENS / NY-MANHATTAN / NY-BRONX / NY-STATEN-ISLAND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NYC borough rules for granular spend allocation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NY-ERIE / NY-NASSAU / NY-WESTCHESTER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 York county rules outside NYC</w:t>
            </w:r>
          </w:p>
        </w:tc>
      </w:tr>
    </w:tbl>
    <w:p>
      <w:pPr>
        <w:spacing w:after="120" w:before="120"/>
      </w:pPr>
    </w:p>
    <w:p>
      <w:r>
        <w:br w:type="page"/>
      </w:r>
    </w:p>
    <w:p>
      <w:pPr>
        <w:pStyle w:val="Heading1"/>
        <w:spacing w:after="120" w:before="360"/>
      </w:pPr>
      <w:r>
        <w:rPr>
          <w:rFonts w:ascii="Arial" w:cs="Arial" w:eastAsia="Arial" w:hAnsi="Arial"/>
          <w:b/>
          <w:bCs/>
          <w:color w:val="1B4F8A"/>
          <w:sz w:val="32"/>
          <w:szCs w:val="32"/>
        </w:rPr>
        <w:t xml:space="preserve">The Schedule Parser — New Feature</w:t>
      </w:r>
    </w:p>
    <w:p>
      <w:pPr>
        <w:spacing w:after="80" w:before="80"/>
      </w:pPr>
      <w:r>
        <w:rPr>
          <w:rFonts w:ascii="Arial" w:cs="Arial" w:eastAsia="Arial" w:hAnsi="Arial"/>
          <w:sz w:val="22"/>
          <w:szCs w:val="22"/>
        </w:rPr>
        <w:t xml:space="preserve">The Schedule Parser is a newly integrated module that closes a critical gap in broadcast compliance: the link between what was produced and what actually aired.</w:t>
      </w:r>
    </w:p>
    <w:p>
      <w:pPr>
        <w:spacing w:after="120" w:before="120"/>
      </w:pPr>
    </w:p>
    <w:p>
      <w:pPr>
        <w:spacing w:after="80" w:before="80"/>
      </w:pPr>
      <w:r>
        <w:rPr>
          <w:rFonts w:ascii="Arial" w:cs="Arial" w:eastAsia="Arial" w:hAnsi="Arial"/>
          <w:sz w:val="22"/>
          <w:szCs w:val="22"/>
        </w:rPr>
        <w:t xml:space="preserve">Broadcasters and regulators increasingly require transmission evidence as part of the incentive claim audit trail. The Schedule Parser provides that evidence automatically, from the same schedule files that broadcasters and traffic departments already produce every day.</w:t>
      </w:r>
    </w:p>
    <w:p>
      <w:pPr>
        <w:spacing w:after="120" w:before="120"/>
      </w:pPr>
    </w:p>
    <w:p>
      <w:pPr>
        <w:pStyle w:val="Heading2"/>
        <w:spacing w:after="100" w:before="240"/>
      </w:pPr>
      <w:r>
        <w:rPr>
          <w:rFonts w:ascii="Arial" w:cs="Arial" w:eastAsia="Arial" w:hAnsi="Arial"/>
          <w:b/>
          <w:bCs/>
          <w:color w:val="2E75B6"/>
          <w:sz w:val="26"/>
          <w:szCs w:val="26"/>
        </w:rPr>
        <w:t xml:space="preserve">What It Does</w:t>
      </w:r>
    </w:p>
    <w:p>
      <w:pPr>
        <w:pStyle w:val="ListParagraph"/>
        <w:numPr>
          <w:ilvl w:val="0"/>
          <w:numId w:val="2"/>
        </w:numPr>
        <w:spacing w:after="60" w:before="60"/>
      </w:pPr>
      <w:r>
        <w:rPr>
          <w:rFonts w:ascii="Arial" w:cs="Arial" w:eastAsia="Arial" w:hAnsi="Arial"/>
          <w:sz w:val="22"/>
          <w:szCs w:val="22"/>
        </w:rPr>
        <w:t xml:space="preserve">Accepts broadcast schedule files in CSV, XML/BXF, and JSON formats</w:t>
      </w:r>
    </w:p>
    <w:p>
      <w:pPr>
        <w:pStyle w:val="ListParagraph"/>
        <w:numPr>
          <w:ilvl w:val="0"/>
          <w:numId w:val="2"/>
        </w:numPr>
        <w:spacing w:after="60" w:before="60"/>
      </w:pPr>
      <w:r>
        <w:rPr>
          <w:rFonts w:ascii="Arial" w:cs="Arial" w:eastAsia="Arial" w:hAnsi="Arial"/>
          <w:sz w:val="22"/>
          <w:szCs w:val="22"/>
        </w:rPr>
        <w:t xml:space="preserve">Detects format automatically from the file extension</w:t>
      </w:r>
    </w:p>
    <w:p>
      <w:pPr>
        <w:pStyle w:val="ListParagraph"/>
        <w:numPr>
          <w:ilvl w:val="0"/>
          <w:numId w:val="2"/>
        </w:numPr>
        <w:spacing w:after="60" w:before="60"/>
      </w:pPr>
      <w:r>
        <w:rPr>
          <w:rFonts w:ascii="Arial" w:cs="Arial" w:eastAsia="Arial" w:hAnsi="Arial"/>
          <w:sz w:val="22"/>
          <w:szCs w:val="22"/>
        </w:rPr>
        <w:t xml:space="preserve">Validates and normalises all fields including timecodes, dates, and rights windows</w:t>
      </w:r>
    </w:p>
    <w:p>
      <w:pPr>
        <w:pStyle w:val="ListParagraph"/>
        <w:numPr>
          <w:ilvl w:val="0"/>
          <w:numId w:val="2"/>
        </w:numPr>
        <w:spacing w:after="60" w:before="60"/>
      </w:pPr>
      <w:r>
        <w:rPr>
          <w:rFonts w:ascii="Arial" w:cs="Arial" w:eastAsia="Arial" w:hAnsi="Arial"/>
          <w:sz w:val="22"/>
          <w:szCs w:val="22"/>
        </w:rPr>
        <w:t xml:space="preserve">Assigns daypart labels (Breakfast, Daytime, Primetime, etc.) to each transmission slot</w:t>
      </w:r>
    </w:p>
    <w:p>
      <w:pPr>
        <w:pStyle w:val="ListParagraph"/>
        <w:numPr>
          <w:ilvl w:val="0"/>
          <w:numId w:val="2"/>
        </w:numPr>
        <w:spacing w:after="60" w:before="60"/>
      </w:pPr>
      <w:r>
        <w:rPr>
          <w:rFonts w:ascii="Arial" w:cs="Arial" w:eastAsia="Arial" w:hAnsi="Arial"/>
          <w:sz w:val="22"/>
          <w:szCs w:val="22"/>
        </w:rPr>
        <w:t xml:space="preserve">Stores every programme slot as a structured record in the SceneIQ database</w:t>
      </w:r>
    </w:p>
    <w:p>
      <w:pPr>
        <w:pStyle w:val="ListParagraph"/>
        <w:numPr>
          <w:ilvl w:val="0"/>
          <w:numId w:val="2"/>
        </w:numPr>
        <w:spacing w:after="60" w:before="60"/>
      </w:pPr>
      <w:r>
        <w:rPr>
          <w:rFonts w:ascii="Arial" w:cs="Arial" w:eastAsia="Arial" w:hAnsi="Arial"/>
          <w:sz w:val="22"/>
          <w:szCs w:val="22"/>
        </w:rPr>
        <w:t xml:space="preserve">Links transmission records to production records for end-to-end audit trails</w:t>
      </w:r>
    </w:p>
    <w:p>
      <w:pPr>
        <w:spacing w:after="120" w:before="120"/>
      </w:pPr>
    </w:p>
    <w:p>
      <w:pPr>
        <w:pStyle w:val="Heading2"/>
        <w:spacing w:after="100" w:before="240"/>
      </w:pPr>
      <w:r>
        <w:rPr>
          <w:rFonts w:ascii="Arial" w:cs="Arial" w:eastAsia="Arial" w:hAnsi="Arial"/>
          <w:b/>
          <w:bCs/>
          <w:color w:val="2E75B6"/>
          <w:sz w:val="26"/>
          <w:szCs w:val="26"/>
        </w:rPr>
        <w:t xml:space="preserve">Why It Matters</w:t>
      </w:r>
    </w:p>
    <w:p>
      <w:pPr>
        <w:spacing w:after="80" w:before="80"/>
      </w:pPr>
      <w:r>
        <w:rPr>
          <w:rFonts w:ascii="Arial" w:cs="Arial" w:eastAsia="Arial" w:hAnsi="Arial"/>
          <w:sz w:val="22"/>
          <w:szCs w:val="22"/>
        </w:rPr>
        <w:t xml:space="preserve">Without transmission evidence, a compliance claim rests entirely on production spend data. With the Schedule Parser, SceneIQ can answer questions that no other platform in this space currently addresses:</w:t>
      </w:r>
    </w:p>
    <w:p>
      <w:pPr>
        <w:spacing w:after="120" w:before="120"/>
      </w:pPr>
    </w:p>
    <w:p>
      <w:pPr>
        <w:pStyle w:val="ListParagraph"/>
        <w:numPr>
          <w:ilvl w:val="0"/>
          <w:numId w:val="2"/>
        </w:numPr>
        <w:spacing w:after="60" w:before="60"/>
      </w:pPr>
      <w:r>
        <w:rPr>
          <w:rFonts w:ascii="Arial" w:cs="Arial" w:eastAsia="Arial" w:hAnsi="Arial"/>
          <w:sz w:val="22"/>
          <w:szCs w:val="22"/>
        </w:rPr>
        <w:t xml:space="preserve">Did this production actually air in the qualifying jurisdiction during the claim period?</w:t>
      </w:r>
    </w:p>
    <w:p>
      <w:pPr>
        <w:pStyle w:val="ListParagraph"/>
        <w:numPr>
          <w:ilvl w:val="0"/>
          <w:numId w:val="2"/>
        </w:numPr>
        <w:spacing w:after="60" w:before="60"/>
      </w:pPr>
      <w:r>
        <w:rPr>
          <w:rFonts w:ascii="Arial" w:cs="Arial" w:eastAsia="Arial" w:hAnsi="Arial"/>
          <w:sz w:val="22"/>
          <w:szCs w:val="22"/>
        </w:rPr>
        <w:t xml:space="preserve">What daypart did it air in — and does that affect the incentive calculation?</w:t>
      </w:r>
    </w:p>
    <w:p>
      <w:pPr>
        <w:pStyle w:val="ListParagraph"/>
        <w:numPr>
          <w:ilvl w:val="0"/>
          <w:numId w:val="2"/>
        </w:numPr>
        <w:spacing w:after="60" w:before="60"/>
      </w:pPr>
      <w:r>
        <w:rPr>
          <w:rFonts w:ascii="Arial" w:cs="Arial" w:eastAsia="Arial" w:hAnsi="Arial"/>
          <w:sz w:val="22"/>
          <w:szCs w:val="22"/>
        </w:rPr>
        <w:t xml:space="preserve">Can we produce a verified transmission log for the auditor alongside the spend breakdown?</w:t>
      </w:r>
    </w:p>
    <w:p>
      <w:pPr>
        <w:spacing w:after="120" w:before="120"/>
      </w:pPr>
    </w:p>
    <w:p>
      <w:pPr>
        <w:pStyle w:val="Heading2"/>
        <w:spacing w:after="100" w:before="240"/>
      </w:pPr>
      <w:r>
        <w:rPr>
          <w:rFonts w:ascii="Arial" w:cs="Arial" w:eastAsia="Arial" w:hAnsi="Arial"/>
          <w:b/>
          <w:bCs/>
          <w:color w:val="2E75B6"/>
          <w:sz w:val="26"/>
          <w:szCs w:val="26"/>
        </w:rPr>
        <w:t xml:space="preserve">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CSV</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rundown exports from traffic and scheduling systems. Supports common alias headers from major UK and US broadcasters.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XML / BXF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Exchange Format — the industry standard used by BBC, ITV, Channel 4, and major international networks.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JSON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Modern API-based schedule feeds from cloud scheduling platforms and streaming services.</w:t>
            </w:r>
          </w:p>
        </w:tc>
      </w:tr>
    </w:tbl>
    <w:p>
      <w:pPr>
        <w:spacing w:after="120" w:before="120"/>
      </w:pPr>
    </w:p>
    <w:p>
      <w:r>
        <w:br w:type="page"/>
      </w:r>
    </w:p>
    <w:p>
      <w:pPr>
        <w:pStyle w:val="Heading1"/>
        <w:spacing w:after="120" w:before="360"/>
      </w:pPr>
      <w:r>
        <w:rPr>
          <w:rFonts w:ascii="Arial" w:cs="Arial" w:eastAsia="Arial" w:hAnsi="Arial"/>
          <w:b/>
          <w:bCs/>
          <w:color w:val="1B4F8A"/>
          <w:sz w:val="32"/>
          <w:szCs w:val="32"/>
        </w:rPr>
        <w:t xml:space="preserve">Producer Workflow — End to End</w:t>
      </w:r>
    </w:p>
    <w:p>
      <w:pPr>
        <w:spacing w:after="80" w:before="80"/>
      </w:pPr>
      <w:r>
        <w:rPr>
          <w:rFonts w:ascii="Arial" w:cs="Arial" w:eastAsia="Arial" w:hAnsi="Arial"/>
          <w:sz w:val="22"/>
          <w:szCs w:val="22"/>
        </w:rPr>
        <w:t xml:space="preserve">The following scenario illustrates how a producer would use every feature of SceneIQ to build and file a tax incentive claim from scratch.</w:t>
      </w:r>
    </w:p>
    <w:p>
      <w:pPr>
        <w:spacing w:after="120" w:before="120"/>
      </w:pPr>
    </w:p>
    <w:p>
      <w:pPr>
        <w:pStyle w:val="Heading2"/>
        <w:spacing w:after="100" w:before="240"/>
      </w:pPr>
      <w:r>
        <w:rPr>
          <w:rFonts w:ascii="Arial" w:cs="Arial" w:eastAsia="Arial" w:hAnsi="Arial"/>
          <w:b/>
          <w:bCs/>
          <w:color w:val="2E75B6"/>
          <w:sz w:val="26"/>
          <w:szCs w:val="26"/>
        </w:rPr>
        <w:t xml:space="preserve">Production: Midnight Harbour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6-part crime drama — limited series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Producer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 Chen, Head of Production, Harbourlight Films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Principal photography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Atlanta, Georgia + 4 days in Brooklyn, New York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Production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to April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Total budget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 million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Broadcaster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Crimson Cable Network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Transmission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to June 2026, primetime</w:t>
            </w:r>
          </w:p>
        </w:tc>
      </w:tr>
    </w:tbl>
    <w:p>
      <w:pPr>
        <w:spacing w:after="120" w:before="120"/>
      </w:pPr>
    </w:p>
    <w:p>
      <w:pPr>
        <w:pStyle w:val="Heading2"/>
        <w:spacing w:after="100" w:before="240"/>
      </w:pPr>
      <w:r>
        <w:rPr>
          <w:rFonts w:ascii="Arial" w:cs="Arial" w:eastAsia="Arial" w:hAnsi="Arial"/>
          <w:b/>
          <w:bCs/>
          <w:color w:val="2E75B6"/>
          <w:sz w:val="26"/>
          <w:szCs w:val="26"/>
        </w:rPr>
        <w:t xml:space="preserve">Step-by-Step Workflow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Create the production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Sarah creates a new production record in SceneIQ — title, type, episodes, locations, budget, and production period.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Run the Incentive Calculator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SceneIQ calculates Georgia base credit (20%) plus uplift (10% for Georgia Entertainment Promotion logo). Estimated credit: $840,000 on $4.2M qualified spend.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Compare with Scenario Calculator</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Sarah compares Georgia, Louisiana, and New Mexico side-by-side. Georgia returns the highest combined credit for this production 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Consult the AI Advisor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 asks the AI Advisor about the Brooklyn shoot days. It identifies a NY-BROOKLYN stacking opportunity and recommends a revised split-spend scenario.</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Run the stacking scenario</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Revised calculation: Georgia $798,000 + NY-BROOKLYN $47,000 = $845,000 combined. Sarah locks this as the filing strategy.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Upload budget via MMB Connector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 exports the Movie Magic Budgeting file and uploads it. SceneIQ maps spend categories to qualified and non-qualified buckets automatically.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Upload broadcast schedule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network delivers a BXF schedule file. Sarah uploads it via the Schedule Parser. SceneIQ confirms 6 episodes, all primetime, all verified as aired.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 Local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Sarah checks the Local Rules module to confirm Fulton County (Atlanta) rules are current and approved.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Generate the compliance report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SceneIQ produces the full claim package: production summary, qualified spend breakdown, incentive calculations, stacking analysis, transmission evidence, and budget data. Estimated credit: $845,000.</w:t>
            </w:r>
          </w:p>
        </w:tc>
      </w:tr>
    </w:tbl>
    <w:p>
      <w:pPr>
        <w:spacing w:after="120" w:before="120"/>
      </w:pPr>
    </w:p>
    <w:p>
      <w:r>
        <w:br w:type="page"/>
      </w:r>
    </w:p>
    <w:p>
      <w:pPr>
        <w:pStyle w:val="Heading1"/>
        <w:spacing w:after="120" w:before="360"/>
      </w:pPr>
      <w:r>
        <w:rPr>
          <w:rFonts w:ascii="Arial" w:cs="Arial" w:eastAsia="Arial" w:hAnsi="Arial"/>
          <w:b/>
          <w:bCs/>
          <w:color w:val="1B4F8A"/>
          <w:sz w:val="32"/>
          <w:szCs w:val="32"/>
        </w:rPr>
        <w:t xml:space="preserve">Value Proposition</w:t>
      </w:r>
    </w:p>
    <w:p>
      <w:pPr>
        <w:spacing w:after="120" w:before="120"/>
      </w:pPr>
    </w:p>
    <w:p>
      <w:pPr>
        <w:pStyle w:val="Heading2"/>
        <w:spacing w:after="100" w:before="240"/>
      </w:pPr>
      <w:r>
        <w:rPr>
          <w:rFonts w:ascii="Arial" w:cs="Arial" w:eastAsia="Arial" w:hAnsi="Arial"/>
          <w:b/>
          <w:bCs/>
          <w:color w:val="2E75B6"/>
          <w:sz w:val="26"/>
          <w:szCs w:val="26"/>
        </w:rPr>
        <w:t xml:space="preserve">Without SceneIQ</w:t>
      </w:r>
    </w:p>
    <w:p>
      <w:pPr>
        <w:pStyle w:val="ListParagraph"/>
        <w:numPr>
          <w:ilvl w:val="0"/>
          <w:numId w:val="2"/>
        </w:numPr>
        <w:spacing w:after="60" w:before="60"/>
      </w:pPr>
      <w:r>
        <w:rPr>
          <w:rFonts w:ascii="Arial" w:cs="Arial" w:eastAsia="Arial" w:hAnsi="Arial"/>
          <w:sz w:val="22"/>
          <w:szCs w:val="22"/>
        </w:rPr>
        <w:t xml:space="preserve">3 to 4 days of manual cross-referencing between budget files, jurisdiction rules, and transmission records</w:t>
      </w:r>
    </w:p>
    <w:p>
      <w:pPr>
        <w:pStyle w:val="ListParagraph"/>
        <w:numPr>
          <w:ilvl w:val="0"/>
          <w:numId w:val="2"/>
        </w:numPr>
        <w:spacing w:after="60" w:before="60"/>
      </w:pPr>
      <w:r>
        <w:rPr>
          <w:rFonts w:ascii="Arial" w:cs="Arial" w:eastAsia="Arial" w:hAnsi="Arial"/>
          <w:sz w:val="22"/>
          <w:szCs w:val="22"/>
        </w:rPr>
        <w:t xml:space="preserve">Spreadsheet-based incentive comparisons with no stacking logic</w:t>
      </w:r>
    </w:p>
    <w:p>
      <w:pPr>
        <w:pStyle w:val="ListParagraph"/>
        <w:numPr>
          <w:ilvl w:val="0"/>
          <w:numId w:val="2"/>
        </w:numPr>
        <w:spacing w:after="60" w:before="60"/>
      </w:pPr>
      <w:r>
        <w:rPr>
          <w:rFonts w:ascii="Arial" w:cs="Arial" w:eastAsia="Arial" w:hAnsi="Arial"/>
          <w:sz w:val="22"/>
          <w:szCs w:val="22"/>
        </w:rPr>
        <w:t xml:space="preserve">Manual chase to broadcaster for transmission confirmation</w:t>
      </w:r>
    </w:p>
    <w:p>
      <w:pPr>
        <w:pStyle w:val="ListParagraph"/>
        <w:numPr>
          <w:ilvl w:val="0"/>
          <w:numId w:val="2"/>
        </w:numPr>
        <w:spacing w:after="60" w:before="60"/>
      </w:pPr>
      <w:r>
        <w:rPr>
          <w:rFonts w:ascii="Arial" w:cs="Arial" w:eastAsia="Arial" w:hAnsi="Arial"/>
          <w:sz w:val="22"/>
          <w:szCs w:val="22"/>
        </w:rPr>
        <w:t xml:space="preserve">Compliance packages assembled by hand — inconsistent, slow, and hard to audit</w:t>
      </w:r>
    </w:p>
    <w:p>
      <w:pPr>
        <w:spacing w:after="120" w:before="120"/>
      </w:pPr>
    </w:p>
    <w:p>
      <w:pPr>
        <w:pStyle w:val="Heading2"/>
        <w:spacing w:after="100" w:before="240"/>
      </w:pPr>
      <w:r>
        <w:rPr>
          <w:rFonts w:ascii="Arial" w:cs="Arial" w:eastAsia="Arial" w:hAnsi="Arial"/>
          <w:b/>
          <w:bCs/>
          <w:color w:val="2E75B6"/>
          <w:sz w:val="26"/>
          <w:szCs w:val="26"/>
        </w:rPr>
        <w:t xml:space="preserve">With SceneIQ</w:t>
      </w:r>
    </w:p>
    <w:p>
      <w:pPr>
        <w:pStyle w:val="ListParagraph"/>
        <w:numPr>
          <w:ilvl w:val="0"/>
          <w:numId w:val="2"/>
        </w:numPr>
        <w:spacing w:after="60" w:before="60"/>
      </w:pPr>
      <w:r>
        <w:rPr>
          <w:rFonts w:ascii="Arial" w:cs="Arial" w:eastAsia="Arial" w:hAnsi="Arial"/>
          <w:sz w:val="22"/>
          <w:szCs w:val="22"/>
        </w:rPr>
        <w:t xml:space="preserve">The same work completed in a single morning</w:t>
      </w:r>
    </w:p>
    <w:p>
      <w:pPr>
        <w:pStyle w:val="ListParagraph"/>
        <w:numPr>
          <w:ilvl w:val="0"/>
          <w:numId w:val="2"/>
        </w:numPr>
        <w:spacing w:after="60" w:before="60"/>
      </w:pPr>
      <w:r>
        <w:rPr>
          <w:rFonts w:ascii="Arial" w:cs="Arial" w:eastAsia="Arial" w:hAnsi="Arial"/>
          <w:sz w:val="22"/>
          <w:szCs w:val="22"/>
        </w:rPr>
        <w:t xml:space="preserve">Incentive comparisons across 6 jurisdictions simultaneously with additive stacking</w:t>
      </w:r>
    </w:p>
    <w:p>
      <w:pPr>
        <w:pStyle w:val="ListParagraph"/>
        <w:numPr>
          <w:ilvl w:val="0"/>
          <w:numId w:val="2"/>
        </w:numPr>
        <w:spacing w:after="60" w:before="60"/>
      </w:pPr>
      <w:r>
        <w:rPr>
          <w:rFonts w:ascii="Arial" w:cs="Arial" w:eastAsia="Arial" w:hAnsi="Arial"/>
          <w:sz w:val="22"/>
          <w:szCs w:val="22"/>
        </w:rPr>
        <w:t xml:space="preserve">Transmission evidence ingested directly from broadcaster files in seconds</w:t>
      </w:r>
    </w:p>
    <w:p>
      <w:pPr>
        <w:pStyle w:val="ListParagraph"/>
        <w:numPr>
          <w:ilvl w:val="0"/>
          <w:numId w:val="2"/>
        </w:numPr>
        <w:spacing w:after="60" w:before="60"/>
      </w:pPr>
      <w:r>
        <w:rPr>
          <w:rFonts w:ascii="Arial" w:cs="Arial" w:eastAsia="Arial" w:hAnsi="Arial"/>
          <w:sz w:val="22"/>
          <w:szCs w:val="22"/>
        </w:rPr>
        <w:t xml:space="preserve">Audit-ready compliance package generated automatically</w:t>
      </w:r>
    </w:p>
    <w:p>
      <w:pPr>
        <w:pStyle w:val="ListParagraph"/>
        <w:numPr>
          <w:ilvl w:val="0"/>
          <w:numId w:val="2"/>
        </w:numPr>
        <w:spacing w:after="60" w:before="60"/>
      </w:pPr>
      <w:r>
        <w:rPr>
          <w:rFonts w:ascii="Arial" w:cs="Arial" w:eastAsia="Arial" w:hAnsi="Arial"/>
          <w:sz w:val="22"/>
          <w:szCs w:val="22"/>
        </w:rPr>
        <w:t xml:space="preserve">AI Advisor provides real-time guidance on qualification edge cases</w:t>
      </w:r>
    </w:p>
    <w:p>
      <w:pPr>
        <w:pBdr>
          <w:bottom w:val="single" w:color="2E75B6" w:sz="4" w:space="1"/>
        </w:pBdr>
        <w:spacing w:after="160" w:before="160"/>
      </w:pPr>
    </w:p>
    <w:p>
      <w:pPr>
        <w:pStyle w:val="Heading1"/>
        <w:spacing w:after="120" w:before="360"/>
      </w:pPr>
      <w:r>
        <w:rPr>
          <w:rFonts w:ascii="Arial" w:cs="Arial" w:eastAsia="Arial" w:hAnsi="Arial"/>
          <w:b/>
          <w:bCs/>
          <w:color w:val="1B4F8A"/>
          <w:sz w:val="32"/>
          <w:szCs w:val="32"/>
        </w:rPr>
        <w:t xml:space="preserve">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Frontend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 19, TypeScript, Vite 7, Tailwind CSS v4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3.12, Prisma ORM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Database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PostgreSQL 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(claude-sonnet-4-6)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4F8A"/>
                <w:sz w:val="20"/>
                <w:szCs w:val="20"/>
              </w:rPr>
              <w:t xml:space="preserve">Infrastructure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Railway, Nginx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Live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https://taxincentivecomplianceplatform-production.up.railway.app</w:t>
            </w:r>
          </w:p>
        </w:tc>
      </w:tr>
    </w:tbl>
    <w:p>
      <w:pPr>
        <w:spacing w:after="120" w:before="120"/>
      </w:pPr>
    </w:p>
    <w:p>
      <w:pPr>
        <w:pBdr>
          <w:bottom w:val="single" w:color="2E75B6" w:sz="4" w:space="1"/>
        </w:pBdr>
        <w:spacing w:after="160" w:before="160"/>
      </w:pPr>
    </w:p>
    <w:p>
      <w:pPr>
        <w:spacing w:after="60" w:before="120"/>
        <w:jc w:val="center"/>
      </w:pPr>
      <w:r>
        <w:rPr>
          <w:rFonts w:ascii="Arial" w:cs="Arial" w:eastAsia="Arial" w:hAnsi="Arial"/>
          <w:color w:val="888888"/>
          <w:sz w:val="18"/>
          <w:szCs w:val="18"/>
        </w:rPr>
        <w:t xml:space="preserve">SceneIQ  |  Confidential Platform Overview  |  May 2026</w:t>
      </w:r>
    </w:p>
    <w:p>
      <w:pPr>
        <w:jc w:val="center"/>
      </w:pPr>
      <w:r>
        <w:rPr>
          <w:rFonts w:ascii="Arial" w:cs="Arial" w:eastAsia="Arial" w:hAnsi="Arial"/>
          <w:color w:val="2E75B6"/>
          <w:sz w:val="18"/>
          <w:szCs w:val="18"/>
        </w:rPr>
        <w:t xml:space="preserve">github.com/hneal055/SceneIQ-Compliance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2026-05-13T16:47:45.000Z</dcterms:created>
  <dcterms:modified xsi:type="dcterms:W3CDTF">2026-05-13T16:47:45.000Z</dcterms:modified>
</cp:coreProperties>
</file>

<file path=docProps/custom.xml><?xml version="1.0" encoding="utf-8"?>
<Properties xmlns="http://schemas.openxmlformats.org/officeDocument/2006/custom-properties" xmlns:vt="http://schemas.openxmlformats.org/officeDocument/2006/docPropsVTypes"/>
</file>