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4BA22" w14:textId="77777777" w:rsidR="008B005C" w:rsidRPr="008B005C" w:rsidRDefault="008B005C" w:rsidP="008B005C">
      <w:pPr>
        <w:spacing w:after="0" w:line="360" w:lineRule="auto"/>
        <w:jc w:val="center"/>
        <w:rPr>
          <w:rFonts w:cs="Arial"/>
          <w:b/>
          <w:bCs/>
          <w:color w:val="156082" w:themeColor="accent1"/>
          <w:sz w:val="32"/>
          <w:szCs w:val="32"/>
          <w:lang w:val="vi-VN"/>
        </w:rPr>
      </w:pPr>
      <w:r w:rsidRPr="008B005C">
        <w:rPr>
          <w:rFonts w:cs="Arial"/>
          <w:b/>
          <w:bCs/>
          <w:color w:val="156082" w:themeColor="accent1"/>
          <w:sz w:val="32"/>
          <w:szCs w:val="32"/>
        </w:rPr>
        <w:t xml:space="preserve">MSBA 265: Business Analytics Topics Foundational </w:t>
      </w:r>
    </w:p>
    <w:p w14:paraId="73976194" w14:textId="5586ABFF" w:rsidR="007A09C6" w:rsidRPr="007A09C6" w:rsidRDefault="008B005C" w:rsidP="008B005C">
      <w:pPr>
        <w:spacing w:after="0" w:line="360" w:lineRule="auto"/>
        <w:jc w:val="center"/>
        <w:rPr>
          <w:rFonts w:cs="Arial"/>
          <w:b/>
          <w:bCs/>
          <w:color w:val="E97132" w:themeColor="accent2"/>
          <w:sz w:val="28"/>
          <w:szCs w:val="28"/>
          <w:lang w:val="vi-VN"/>
        </w:rPr>
      </w:pPr>
      <w:r w:rsidRPr="008B005C">
        <w:rPr>
          <w:rFonts w:cs="Arial"/>
          <w:b/>
          <w:bCs/>
          <w:color w:val="BF4E14" w:themeColor="accent2" w:themeShade="BF"/>
          <w:sz w:val="28"/>
          <w:szCs w:val="28"/>
        </w:rPr>
        <w:t>Module 1: Practical Homework Assignment</w:t>
      </w:r>
      <w:r w:rsidR="007A09C6" w:rsidRPr="007A09C6">
        <w:rPr>
          <w:rFonts w:cs="Arial"/>
          <w:b/>
          <w:bCs/>
          <w:color w:val="E97132" w:themeColor="accent2"/>
          <w:sz w:val="28"/>
          <w:szCs w:val="28"/>
        </w:rPr>
        <w:br/>
      </w:r>
      <w:r w:rsidRPr="008B005C">
        <w:rPr>
          <w:rFonts w:cs="Arial"/>
          <w:b/>
          <w:bCs/>
          <w:sz w:val="28"/>
          <w:szCs w:val="28"/>
        </w:rPr>
        <w:t>Student</w:t>
      </w:r>
      <w:r w:rsidRPr="008B005C">
        <w:rPr>
          <w:rFonts w:cs="Arial"/>
          <w:b/>
          <w:bCs/>
          <w:sz w:val="28"/>
          <w:szCs w:val="28"/>
          <w:lang w:val="vi-VN"/>
        </w:rPr>
        <w:t>:</w:t>
      </w:r>
      <w:r>
        <w:rPr>
          <w:rFonts w:cs="Arial"/>
          <w:sz w:val="28"/>
          <w:szCs w:val="28"/>
          <w:lang w:val="vi-VN"/>
        </w:rPr>
        <w:t xml:space="preserve"> </w:t>
      </w:r>
      <w:r w:rsidR="007A09C6" w:rsidRPr="007A09C6">
        <w:rPr>
          <w:rFonts w:cs="Arial"/>
          <w:sz w:val="28"/>
          <w:szCs w:val="28"/>
        </w:rPr>
        <w:t>Anh Ngo</w:t>
      </w:r>
      <w:r w:rsidR="007A09C6" w:rsidRPr="007A09C6">
        <w:rPr>
          <w:rFonts w:cs="Arial"/>
          <w:sz w:val="28"/>
          <w:szCs w:val="28"/>
        </w:rPr>
        <w:br/>
      </w:r>
      <w:r w:rsidR="007A09C6" w:rsidRPr="007A09C6">
        <w:rPr>
          <w:rFonts w:cs="Arial"/>
          <w:i/>
          <w:iCs/>
          <w:sz w:val="28"/>
          <w:szCs w:val="28"/>
        </w:rPr>
        <w:t>Fall 2026</w:t>
      </w:r>
    </w:p>
    <w:p w14:paraId="105399C9" w14:textId="52431C09" w:rsidR="00F75E66" w:rsidRPr="007A09C6" w:rsidRDefault="00F75E66" w:rsidP="008B005C">
      <w:pPr>
        <w:jc w:val="both"/>
        <w:rPr>
          <w:rFonts w:cs="Arial"/>
          <w:b/>
          <w:bCs/>
          <w:color w:val="156082" w:themeColor="accent1"/>
          <w:sz w:val="28"/>
          <w:szCs w:val="28"/>
        </w:rPr>
      </w:pPr>
      <w:r w:rsidRPr="007A09C6">
        <w:rPr>
          <w:rFonts w:cs="Arial"/>
          <w:b/>
          <w:bCs/>
          <w:color w:val="156082" w:themeColor="accent1"/>
          <w:sz w:val="28"/>
          <w:szCs w:val="28"/>
        </w:rPr>
        <w:t>Part 2: Raw Boundary Audits &amp; Business Data Dictionary</w:t>
      </w:r>
    </w:p>
    <w:p w14:paraId="50A6E9EE" w14:textId="34CE7E2A" w:rsidR="00F75E66" w:rsidRPr="007A09C6" w:rsidRDefault="00F75E66" w:rsidP="007A09C6">
      <w:pPr>
        <w:jc w:val="both"/>
        <w:rPr>
          <w:rFonts w:cs="Arial"/>
          <w:b/>
          <w:bCs/>
          <w:i/>
          <w:iCs/>
          <w:lang w:val="vi-VN"/>
        </w:rPr>
      </w:pPr>
      <w:r w:rsidRPr="007A09C6">
        <w:rPr>
          <w:rFonts w:cs="Arial"/>
          <w:b/>
          <w:bCs/>
          <w:i/>
          <w:iCs/>
        </w:rPr>
        <w:t xml:space="preserve">2.2 Audit raw minimum and maximum bounds for </w:t>
      </w:r>
      <w:proofErr w:type="spellStart"/>
      <w:r w:rsidRPr="007A09C6">
        <w:rPr>
          <w:rFonts w:cs="Arial"/>
          <w:b/>
          <w:bCs/>
          <w:i/>
          <w:iCs/>
        </w:rPr>
        <w:t>DrivAge</w:t>
      </w:r>
      <w:proofErr w:type="spellEnd"/>
      <w:r w:rsidRPr="007A09C6">
        <w:rPr>
          <w:rFonts w:cs="Arial"/>
          <w:b/>
          <w:bCs/>
          <w:i/>
          <w:iCs/>
        </w:rPr>
        <w:t xml:space="preserve">, Exposure, and </w:t>
      </w:r>
      <w:proofErr w:type="spellStart"/>
      <w:r w:rsidRPr="007A09C6">
        <w:rPr>
          <w:rFonts w:cs="Arial"/>
          <w:b/>
          <w:bCs/>
          <w:i/>
          <w:iCs/>
        </w:rPr>
        <w:t>BonusMalus</w:t>
      </w:r>
      <w:proofErr w:type="spellEnd"/>
      <w:r w:rsidRPr="007A09C6">
        <w:rPr>
          <w:rFonts w:cs="Arial"/>
          <w:b/>
          <w:bCs/>
          <w:i/>
          <w:iCs/>
        </w:rPr>
        <w:t>.</w:t>
      </w:r>
      <w:r w:rsidRPr="007A09C6">
        <w:rPr>
          <w:rFonts w:cs="Arial"/>
          <w:b/>
          <w:bCs/>
          <w:i/>
          <w:iCs/>
          <w:lang w:val="vi-VN"/>
        </w:rPr>
        <w:t xml:space="preserve"> </w:t>
      </w:r>
      <w:r w:rsidRPr="007A09C6">
        <w:rPr>
          <w:rFonts w:cs="Arial"/>
          <w:b/>
          <w:bCs/>
          <w:i/>
          <w:iCs/>
        </w:rPr>
        <w:t>Verify that zero negative age bugs or sentinel null codes exist.</w:t>
      </w:r>
    </w:p>
    <w:p w14:paraId="4D946EEE" w14:textId="00D18DC7" w:rsidR="00F75E66" w:rsidRPr="007A09C6" w:rsidRDefault="00F75E66" w:rsidP="007A09C6">
      <w:pPr>
        <w:ind w:firstLine="720"/>
        <w:jc w:val="both"/>
        <w:rPr>
          <w:rFonts w:cs="Arial"/>
          <w:lang w:val="vi-VN"/>
        </w:rPr>
      </w:pPr>
      <w:r w:rsidRPr="007A09C6">
        <w:rPr>
          <w:rFonts w:cs="Arial"/>
        </w:rPr>
        <w:t>The raw boundary audit produced the following results:</w:t>
      </w:r>
    </w:p>
    <w:p w14:paraId="31FAC327" w14:textId="19A7988F" w:rsidR="00F75E66" w:rsidRPr="007A09C6" w:rsidRDefault="00F75E66" w:rsidP="007A09C6">
      <w:pPr>
        <w:jc w:val="center"/>
        <w:rPr>
          <w:rFonts w:cs="Arial"/>
          <w:b/>
          <w:bCs/>
          <w:lang w:val="vi-VN"/>
        </w:rPr>
      </w:pPr>
      <w:r w:rsidRPr="007A09C6">
        <w:rPr>
          <w:rFonts w:cs="Arial"/>
          <w:b/>
          <w:bCs/>
          <w:lang w:val="vi-VN"/>
        </w:rPr>
        <w:drawing>
          <wp:inline distT="0" distB="0" distL="0" distR="0" wp14:anchorId="30F1CC7B" wp14:editId="3BB8D77A">
            <wp:extent cx="4944533" cy="3349182"/>
            <wp:effectExtent l="0" t="0" r="8890" b="3810"/>
            <wp:docPr id="969146301" name="Picture 1" descr="The image displays a console output with statistics on a dataset, including minimum and maximum values for 'DrivAge', 'Exposure', and 'BonusMalu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46301" name="Picture 1" descr="The image displays a console output with statistics on a dataset, including minimum and maximum values for 'DrivAge', 'Exposure', and 'BonusMalus'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2604" cy="335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89F3" w14:textId="5829FDBA" w:rsidR="00F75E66" w:rsidRPr="007A09C6" w:rsidRDefault="00F75E66" w:rsidP="007A09C6">
      <w:pPr>
        <w:ind w:firstLine="720"/>
        <w:jc w:val="both"/>
        <w:rPr>
          <w:rFonts w:cs="Arial"/>
          <w:lang w:val="vi-VN"/>
        </w:rPr>
      </w:pPr>
      <w:r w:rsidRPr="007A09C6">
        <w:rPr>
          <w:rFonts w:cs="Arial"/>
        </w:rPr>
        <w:t xml:space="preserve">The reviewed variables did not contain negative values or obvious sentinel null codes. </w:t>
      </w:r>
      <w:proofErr w:type="spellStart"/>
      <w:r w:rsidRPr="007A09C6">
        <w:rPr>
          <w:rFonts w:cs="Arial"/>
        </w:rPr>
        <w:t>DrivAge</w:t>
      </w:r>
      <w:proofErr w:type="spellEnd"/>
      <w:r w:rsidRPr="007A09C6">
        <w:rPr>
          <w:rFonts w:cs="Arial"/>
        </w:rPr>
        <w:t xml:space="preserve"> remained within reasonable adult driving ages, Exposure contained no negative durations, and </w:t>
      </w:r>
      <w:proofErr w:type="spellStart"/>
      <w:r w:rsidRPr="007A09C6">
        <w:rPr>
          <w:rFonts w:cs="Arial"/>
        </w:rPr>
        <w:t>BonusMalus</w:t>
      </w:r>
      <w:proofErr w:type="spellEnd"/>
      <w:r w:rsidRPr="007A09C6">
        <w:rPr>
          <w:rFonts w:cs="Arial"/>
        </w:rPr>
        <w:t xml:space="preserve"> contained no obvious invalid negative values.</w:t>
      </w:r>
    </w:p>
    <w:p w14:paraId="71B64351" w14:textId="41A2AF37" w:rsidR="00F75E66" w:rsidRPr="007A09C6" w:rsidRDefault="00F75E66" w:rsidP="007A09C6">
      <w:pPr>
        <w:jc w:val="both"/>
        <w:rPr>
          <w:rFonts w:cs="Arial"/>
          <w:b/>
          <w:bCs/>
          <w:i/>
          <w:iCs/>
        </w:rPr>
      </w:pPr>
      <w:r w:rsidRPr="007A09C6">
        <w:rPr>
          <w:rFonts w:cs="Arial"/>
          <w:b/>
          <w:bCs/>
          <w:i/>
          <w:iCs/>
        </w:rPr>
        <w:t>2.4</w:t>
      </w:r>
      <w:r w:rsidRPr="007A09C6">
        <w:rPr>
          <w:rFonts w:cs="Arial"/>
          <w:b/>
          <w:bCs/>
          <w:i/>
          <w:iCs/>
          <w:lang w:val="vi-VN"/>
        </w:rPr>
        <w:t xml:space="preserve"> </w:t>
      </w:r>
      <w:r w:rsidRPr="007A09C6">
        <w:rPr>
          <w:rFonts w:cs="Arial"/>
          <w:b/>
          <w:bCs/>
          <w:i/>
          <w:iCs/>
        </w:rPr>
        <w:t xml:space="preserve">Write a 1-paragraph markdown defense explaining why Exposure acts as a rate offset, and why continuous Density and categorical Area </w:t>
      </w:r>
      <w:proofErr w:type="gramStart"/>
      <w:r w:rsidRPr="007A09C6">
        <w:rPr>
          <w:rFonts w:cs="Arial"/>
          <w:b/>
          <w:bCs/>
          <w:i/>
          <w:iCs/>
        </w:rPr>
        <w:t>cannot both</w:t>
      </w:r>
      <w:proofErr w:type="gramEnd"/>
      <w:r w:rsidRPr="007A09C6">
        <w:rPr>
          <w:rFonts w:cs="Arial"/>
          <w:b/>
          <w:bCs/>
          <w:i/>
          <w:iCs/>
        </w:rPr>
        <w:t xml:space="preserve"> be included in a linear regression model.</w:t>
      </w:r>
    </w:p>
    <w:p w14:paraId="78416173" w14:textId="44CD0E99" w:rsidR="00F75E66" w:rsidRPr="007A09C6" w:rsidRDefault="00F75E66" w:rsidP="007A09C6">
      <w:pPr>
        <w:ind w:firstLine="720"/>
        <w:jc w:val="both"/>
        <w:rPr>
          <w:rFonts w:cs="Arial"/>
          <w:lang w:val="vi-VN"/>
        </w:rPr>
      </w:pPr>
      <w:r w:rsidRPr="007A09C6">
        <w:rPr>
          <w:rFonts w:cs="Arial"/>
        </w:rPr>
        <w:t xml:space="preserve">Exposure acts as a rate offset because the number of claims depends on how long a policy is active. For example, a policy that is active for one year has more opportunity to generate claims than a policy that is active for only six months, so claim counts should be </w:t>
      </w:r>
      <w:r w:rsidRPr="007A09C6">
        <w:rPr>
          <w:rFonts w:cs="Arial"/>
        </w:rPr>
        <w:lastRenderedPageBreak/>
        <w:t xml:space="preserve">adjusted based on Exposure. Density and Area should </w:t>
      </w:r>
      <w:proofErr w:type="gramStart"/>
      <w:r w:rsidRPr="007A09C6">
        <w:rPr>
          <w:rFonts w:cs="Arial"/>
        </w:rPr>
        <w:t>not both</w:t>
      </w:r>
      <w:proofErr w:type="gramEnd"/>
      <w:r w:rsidRPr="007A09C6">
        <w:rPr>
          <w:rFonts w:cs="Arial"/>
        </w:rPr>
        <w:t xml:space="preserve"> be included in the same linear regression model because they represent similar information about population density. Density gives a continuous numerical value, while Area groups population density into categories. Including both variables would add redundant information to the model and could create collinearity problems.</w:t>
      </w:r>
    </w:p>
    <w:p w14:paraId="7F446FAF" w14:textId="77777777" w:rsidR="00F75E66" w:rsidRPr="007A09C6" w:rsidRDefault="00F75E66" w:rsidP="007A09C6">
      <w:pPr>
        <w:jc w:val="both"/>
        <w:rPr>
          <w:rFonts w:cs="Arial"/>
          <w:b/>
          <w:bCs/>
          <w:color w:val="156082" w:themeColor="accent1"/>
          <w:sz w:val="28"/>
          <w:szCs w:val="28"/>
        </w:rPr>
      </w:pPr>
      <w:r w:rsidRPr="007A09C6">
        <w:rPr>
          <w:rFonts w:cs="Arial"/>
          <w:b/>
          <w:bCs/>
          <w:color w:val="156082" w:themeColor="accent1"/>
          <w:sz w:val="28"/>
          <w:szCs w:val="28"/>
        </w:rPr>
        <w:t>Part 3: Overriding Automated Rules &amp; Correlation Visuals</w:t>
      </w:r>
    </w:p>
    <w:p w14:paraId="7F7D96F7" w14:textId="77777777" w:rsidR="00F75E66" w:rsidRPr="007A09C6" w:rsidRDefault="00F75E66" w:rsidP="007A09C6">
      <w:pPr>
        <w:jc w:val="both"/>
        <w:rPr>
          <w:rFonts w:cs="Arial"/>
          <w:b/>
          <w:bCs/>
          <w:i/>
          <w:iCs/>
        </w:rPr>
      </w:pPr>
      <w:r w:rsidRPr="007A09C6">
        <w:rPr>
          <w:rFonts w:cs="Arial"/>
          <w:b/>
          <w:bCs/>
          <w:i/>
          <w:iCs/>
        </w:rPr>
        <w:t>3.1 Pearson Correlation Heatmap</w:t>
      </w:r>
    </w:p>
    <w:p w14:paraId="14CA968D" w14:textId="35EE4D55" w:rsidR="00917B2C" w:rsidRPr="007A09C6" w:rsidRDefault="00F75E66" w:rsidP="007A09C6">
      <w:pPr>
        <w:jc w:val="center"/>
        <w:rPr>
          <w:rFonts w:eastAsia="Times New Roman" w:cs="Arial"/>
          <w:color w:val="FFA657"/>
          <w:kern w:val="0"/>
          <w:sz w:val="21"/>
          <w:szCs w:val="21"/>
          <w:lang w:val="vi-VN"/>
          <w14:ligatures w14:val="none"/>
        </w:rPr>
      </w:pPr>
      <w:r w:rsidRPr="007A09C6">
        <w:rPr>
          <w:rFonts w:cs="Arial"/>
          <w:b/>
          <w:bCs/>
        </w:rPr>
        <w:drawing>
          <wp:inline distT="0" distB="0" distL="0" distR="0" wp14:anchorId="4FE33A48" wp14:editId="3436D109">
            <wp:extent cx="5943600" cy="4943475"/>
            <wp:effectExtent l="0" t="0" r="0" b="9525"/>
            <wp:docPr id="1304268466" name="Picture 1" descr="The image is a Pearson Correlation Heatmap showing the correlation coefficients between various numerical featu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68466" name="Picture 1" descr="The image is a Pearson Correlation Heatmap showing the correlation coefficients between various numerical featur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8A7C" w14:textId="4E43A981" w:rsidR="00F75E66" w:rsidRPr="007A09C6" w:rsidRDefault="00F75E66" w:rsidP="007A09C6">
      <w:pPr>
        <w:pStyle w:val="ListParagraph"/>
        <w:numPr>
          <w:ilvl w:val="0"/>
          <w:numId w:val="6"/>
        </w:numPr>
        <w:jc w:val="both"/>
        <w:rPr>
          <w:rFonts w:cs="Arial"/>
        </w:rPr>
      </w:pPr>
      <w:r w:rsidRPr="007A09C6">
        <w:rPr>
          <w:rFonts w:cs="Arial"/>
          <w:b/>
          <w:bCs/>
        </w:rPr>
        <w:t>Distribution/Relationship Shape:</w:t>
      </w:r>
      <w:r w:rsidRPr="007A09C6">
        <w:rPr>
          <w:rFonts w:cs="Arial"/>
        </w:rPr>
        <w:t xml:space="preserve"> The heatmap shows mostly weak linear relationships between the numerical variables, with most Pearson correlation values close to 0.</w:t>
      </w:r>
    </w:p>
    <w:p w14:paraId="30A77934" w14:textId="70251B13" w:rsidR="00F75E66" w:rsidRPr="007A09C6" w:rsidRDefault="00F75E66" w:rsidP="007A09C6">
      <w:pPr>
        <w:pStyle w:val="ListParagraph"/>
        <w:numPr>
          <w:ilvl w:val="0"/>
          <w:numId w:val="6"/>
        </w:numPr>
        <w:jc w:val="both"/>
        <w:rPr>
          <w:rFonts w:cs="Arial"/>
        </w:rPr>
      </w:pPr>
      <w:r w:rsidRPr="007A09C6">
        <w:rPr>
          <w:rFonts w:cs="Arial"/>
          <w:b/>
          <w:bCs/>
        </w:rPr>
        <w:t>Key Metrics:</w:t>
      </w:r>
      <w:r w:rsidR="00917B2C" w:rsidRPr="007A09C6">
        <w:rPr>
          <w:rFonts w:cs="Arial"/>
          <w:b/>
          <w:bCs/>
          <w:lang w:val="vi-VN"/>
        </w:rPr>
        <w:t xml:space="preserve"> </w:t>
      </w:r>
      <w:r w:rsidRPr="007A09C6">
        <w:rPr>
          <w:rFonts w:cs="Arial"/>
        </w:rPr>
        <w:t xml:space="preserve">The strongest visible relationship is between </w:t>
      </w:r>
      <w:proofErr w:type="spellStart"/>
      <w:r w:rsidRPr="007A09C6">
        <w:rPr>
          <w:rFonts w:cs="Arial"/>
        </w:rPr>
        <w:t>DrivAge</w:t>
      </w:r>
      <w:proofErr w:type="spellEnd"/>
      <w:r w:rsidRPr="007A09C6">
        <w:rPr>
          <w:rFonts w:cs="Arial"/>
        </w:rPr>
        <w:t xml:space="preserve"> and </w:t>
      </w:r>
      <w:proofErr w:type="spellStart"/>
      <w:r w:rsidRPr="007A09C6">
        <w:rPr>
          <w:rFonts w:cs="Arial"/>
        </w:rPr>
        <w:t>BonusMalus</w:t>
      </w:r>
      <w:proofErr w:type="spellEnd"/>
      <w:r w:rsidRPr="007A09C6">
        <w:rPr>
          <w:rFonts w:cs="Arial"/>
        </w:rPr>
        <w:t xml:space="preserve"> at approximately r = -0.48, indicating a moderate negative relationship. No numerical feature pair reaches the severe multicollinearity threshold of |r| ≥ 0.85.</w:t>
      </w:r>
    </w:p>
    <w:p w14:paraId="23E19585" w14:textId="182B6E43" w:rsidR="00F75E66" w:rsidRPr="007A09C6" w:rsidRDefault="00F75E66" w:rsidP="007A09C6">
      <w:pPr>
        <w:pStyle w:val="ListParagraph"/>
        <w:numPr>
          <w:ilvl w:val="0"/>
          <w:numId w:val="6"/>
        </w:numPr>
        <w:jc w:val="both"/>
        <w:rPr>
          <w:rFonts w:cs="Arial"/>
        </w:rPr>
      </w:pPr>
      <w:r w:rsidRPr="007A09C6">
        <w:rPr>
          <w:rFonts w:cs="Arial"/>
          <w:b/>
          <w:bCs/>
        </w:rPr>
        <w:lastRenderedPageBreak/>
        <w:t>Recommended Analytics Action:</w:t>
      </w:r>
      <w:r w:rsidR="00917B2C" w:rsidRPr="007A09C6">
        <w:rPr>
          <w:rFonts w:cs="Arial"/>
          <w:b/>
          <w:bCs/>
          <w:lang w:val="vi-VN"/>
        </w:rPr>
        <w:t xml:space="preserve"> </w:t>
      </w:r>
      <w:r w:rsidRPr="007A09C6">
        <w:rPr>
          <w:rFonts w:cs="Arial"/>
        </w:rPr>
        <w:t xml:space="preserve">No numerical feature needs to be removed based only on the Pearson correlation heatmap. However, Density and Area should still </w:t>
      </w:r>
      <w:proofErr w:type="gramStart"/>
      <w:r w:rsidRPr="007A09C6">
        <w:rPr>
          <w:rFonts w:cs="Arial"/>
        </w:rPr>
        <w:t>not both</w:t>
      </w:r>
      <w:proofErr w:type="gramEnd"/>
      <w:r w:rsidRPr="007A09C6">
        <w:rPr>
          <w:rFonts w:cs="Arial"/>
        </w:rPr>
        <w:t xml:space="preserve"> be used because they represent similar geographic information, even though Area is categorical and therefore does not appear in the numerical correlation heatmap.</w:t>
      </w:r>
    </w:p>
    <w:p w14:paraId="60347FCC" w14:textId="783E2D29" w:rsidR="00917B2C" w:rsidRPr="007A09C6" w:rsidRDefault="00917B2C" w:rsidP="007A09C6">
      <w:pPr>
        <w:jc w:val="both"/>
        <w:rPr>
          <w:rFonts w:cs="Arial"/>
          <w:b/>
          <w:bCs/>
          <w:i/>
          <w:iCs/>
          <w:lang w:val="vi-VN"/>
        </w:rPr>
      </w:pPr>
      <w:r w:rsidRPr="007A09C6">
        <w:rPr>
          <w:rFonts w:cs="Arial"/>
          <w:b/>
          <w:bCs/>
          <w:i/>
          <w:iCs/>
        </w:rPr>
        <w:t>3.2 Write an executive defense explaining why you overrode automated skewness</w:t>
      </w:r>
      <w:r w:rsidRPr="007A09C6">
        <w:rPr>
          <w:rFonts w:cs="Arial"/>
          <w:b/>
          <w:bCs/>
          <w:i/>
          <w:iCs/>
          <w:lang w:val="vi-VN"/>
        </w:rPr>
        <w:t xml:space="preserve"> </w:t>
      </w:r>
      <w:r w:rsidRPr="007A09C6">
        <w:rPr>
          <w:rFonts w:cs="Arial"/>
          <w:b/>
          <w:bCs/>
          <w:i/>
          <w:iCs/>
        </w:rPr>
        <w:t xml:space="preserve">recommendations for </w:t>
      </w:r>
      <w:proofErr w:type="spellStart"/>
      <w:r w:rsidRPr="007A09C6">
        <w:rPr>
          <w:rFonts w:cs="Arial"/>
          <w:b/>
          <w:bCs/>
          <w:i/>
          <w:iCs/>
        </w:rPr>
        <w:t>ClaimNb</w:t>
      </w:r>
      <w:proofErr w:type="spellEnd"/>
      <w:r w:rsidRPr="007A09C6">
        <w:rPr>
          <w:rFonts w:cs="Arial"/>
          <w:b/>
          <w:bCs/>
          <w:i/>
          <w:iCs/>
        </w:rPr>
        <w:t>, detailing the mathematical impossibility (</w:t>
      </w:r>
      <w:proofErr w:type="gramStart"/>
      <w:r w:rsidRPr="007A09C6">
        <w:rPr>
          <w:rFonts w:cs="Arial"/>
          <w:b/>
          <w:bCs/>
          <w:i/>
          <w:iCs/>
        </w:rPr>
        <w:t>log(</w:t>
      </w:r>
      <w:proofErr w:type="gramEnd"/>
      <w:r w:rsidRPr="007A09C6">
        <w:rPr>
          <w:rFonts w:cs="Arial"/>
          <w:b/>
          <w:bCs/>
          <w:i/>
          <w:iCs/>
        </w:rPr>
        <w:t xml:space="preserve">0) = −∞) and domain rationale. </w:t>
      </w:r>
    </w:p>
    <w:p w14:paraId="09F19C20" w14:textId="77777777" w:rsidR="00917B2C" w:rsidRPr="007A09C6" w:rsidRDefault="00917B2C" w:rsidP="007A09C6">
      <w:pPr>
        <w:ind w:firstLine="720"/>
        <w:jc w:val="both"/>
        <w:rPr>
          <w:rFonts w:cs="Arial"/>
        </w:rPr>
      </w:pPr>
      <w:r w:rsidRPr="007A09C6">
        <w:rPr>
          <w:rFonts w:cs="Arial"/>
        </w:rPr>
        <w:t xml:space="preserve">The automated skewness analysis identifies </w:t>
      </w:r>
      <w:proofErr w:type="spellStart"/>
      <w:r w:rsidRPr="007A09C6">
        <w:rPr>
          <w:rFonts w:cs="Arial"/>
        </w:rPr>
        <w:t>ClaimNb</w:t>
      </w:r>
      <w:proofErr w:type="spellEnd"/>
      <w:r w:rsidRPr="007A09C6">
        <w:rPr>
          <w:rFonts w:cs="Arial"/>
        </w:rPr>
        <w:t xml:space="preserve"> as extremely </w:t>
      </w:r>
      <w:proofErr w:type="gramStart"/>
      <w:r w:rsidRPr="007A09C6">
        <w:rPr>
          <w:rFonts w:cs="Arial"/>
        </w:rPr>
        <w:t>right-skewed</w:t>
      </w:r>
      <w:proofErr w:type="gramEnd"/>
      <w:r w:rsidRPr="007A09C6">
        <w:rPr>
          <w:rFonts w:cs="Arial"/>
        </w:rPr>
        <w:t xml:space="preserve">, with a skewness coefficient of approximately 5.60, and recommends a log transformation. However, I would override this recommendation because </w:t>
      </w:r>
      <w:proofErr w:type="spellStart"/>
      <w:r w:rsidRPr="007A09C6">
        <w:rPr>
          <w:rFonts w:cs="Arial"/>
        </w:rPr>
        <w:t>ClaimNb</w:t>
      </w:r>
      <w:proofErr w:type="spellEnd"/>
      <w:r w:rsidRPr="007A09C6">
        <w:rPr>
          <w:rFonts w:cs="Arial"/>
        </w:rPr>
        <w:t xml:space="preserve"> is a discrete count variable, not a continuous positive variable. It can also contain zero values, and </w:t>
      </w:r>
      <w:proofErr w:type="gramStart"/>
      <w:r w:rsidRPr="007A09C6">
        <w:rPr>
          <w:rFonts w:cs="Arial"/>
        </w:rPr>
        <w:t>log(</w:t>
      </w:r>
      <w:proofErr w:type="gramEnd"/>
      <w:r w:rsidRPr="007A09C6">
        <w:rPr>
          <w:rFonts w:cs="Arial"/>
        </w:rPr>
        <w:t xml:space="preserve">0) is mathematically undefined and approaches -∞. Therefore, </w:t>
      </w:r>
      <w:proofErr w:type="spellStart"/>
      <w:r w:rsidRPr="007A09C6">
        <w:rPr>
          <w:rFonts w:cs="Arial"/>
        </w:rPr>
        <w:t>ClaimNb</w:t>
      </w:r>
      <w:proofErr w:type="spellEnd"/>
      <w:r w:rsidRPr="007A09C6">
        <w:rPr>
          <w:rFonts w:cs="Arial"/>
        </w:rPr>
        <w:t xml:space="preserve"> should remain in its original count form and be modeled using a Poisson or Negative Binomial model instead of applying a log transformation.</w:t>
      </w:r>
    </w:p>
    <w:p w14:paraId="61A14496" w14:textId="77777777" w:rsidR="00F75E66" w:rsidRPr="007A09C6" w:rsidRDefault="00F75E66" w:rsidP="007A09C6">
      <w:pPr>
        <w:jc w:val="both"/>
        <w:rPr>
          <w:rFonts w:cs="Arial"/>
          <w:b/>
          <w:bCs/>
          <w:color w:val="156082" w:themeColor="accent1"/>
          <w:sz w:val="28"/>
          <w:szCs w:val="28"/>
        </w:rPr>
      </w:pPr>
      <w:r w:rsidRPr="007A09C6">
        <w:rPr>
          <w:rFonts w:cs="Arial"/>
          <w:b/>
          <w:bCs/>
          <w:color w:val="156082" w:themeColor="accent1"/>
          <w:sz w:val="28"/>
          <w:szCs w:val="28"/>
        </w:rPr>
        <w:t>Part 4: Distribution Audits &amp; Written Plot Statements</w:t>
      </w:r>
    </w:p>
    <w:p w14:paraId="7636C4C0" w14:textId="77777777" w:rsidR="00917B2C" w:rsidRPr="007A09C6" w:rsidRDefault="00917B2C" w:rsidP="007A09C6">
      <w:pPr>
        <w:jc w:val="both"/>
        <w:rPr>
          <w:rFonts w:cs="Arial"/>
          <w:b/>
          <w:bCs/>
          <w:i/>
          <w:iCs/>
          <w:lang w:val="vi-VN"/>
        </w:rPr>
      </w:pPr>
      <w:r w:rsidRPr="007A09C6">
        <w:rPr>
          <w:rFonts w:cs="Arial"/>
          <w:b/>
          <w:bCs/>
          <w:i/>
          <w:iCs/>
        </w:rPr>
        <w:t xml:space="preserve">4.1 Render side-by-side box plots and KDE histograms </w:t>
      </w:r>
    </w:p>
    <w:p w14:paraId="0BE4FA77" w14:textId="7C42D5FD" w:rsidR="00917B2C" w:rsidRPr="007A09C6" w:rsidRDefault="00917B2C" w:rsidP="007A09C6">
      <w:pPr>
        <w:jc w:val="center"/>
        <w:rPr>
          <w:rFonts w:cs="Arial"/>
          <w:lang w:val="vi-VN"/>
        </w:rPr>
      </w:pPr>
      <w:r w:rsidRPr="007A09C6">
        <w:rPr>
          <w:rFonts w:cs="Arial"/>
          <w:b/>
          <w:bCs/>
        </w:rPr>
        <w:drawing>
          <wp:inline distT="0" distB="0" distL="0" distR="0" wp14:anchorId="6B6F2C76" wp14:editId="4064C092">
            <wp:extent cx="5640978" cy="4004734"/>
            <wp:effectExtent l="0" t="0" r="0" b="0"/>
            <wp:docPr id="82189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91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0978" cy="400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272A" w14:textId="1C1C2A22" w:rsidR="007A09C6" w:rsidRPr="007A09C6" w:rsidRDefault="007A09C6" w:rsidP="007A09C6">
      <w:pPr>
        <w:jc w:val="both"/>
        <w:rPr>
          <w:rFonts w:cs="Arial"/>
          <w:b/>
          <w:bCs/>
          <w:i/>
          <w:iCs/>
          <w:lang w:val="vi-VN"/>
        </w:rPr>
      </w:pPr>
      <w:r w:rsidRPr="007A09C6">
        <w:rPr>
          <w:rFonts w:cs="Arial"/>
          <w:b/>
          <w:bCs/>
          <w:i/>
          <w:iCs/>
        </w:rPr>
        <w:lastRenderedPageBreak/>
        <w:t>4.2 Write the required 3-bullet interpretation statements (Distribution Shape, Key Metrics/Whiskers, Recommended Analytics Action)</w:t>
      </w:r>
    </w:p>
    <w:p w14:paraId="554A7E40" w14:textId="613FB7A3" w:rsidR="00917B2C" w:rsidRPr="007A09C6" w:rsidRDefault="00917B2C" w:rsidP="007A09C6">
      <w:pPr>
        <w:pStyle w:val="ListParagraph"/>
        <w:numPr>
          <w:ilvl w:val="2"/>
          <w:numId w:val="17"/>
        </w:numPr>
        <w:jc w:val="both"/>
        <w:rPr>
          <w:rFonts w:cs="Arial"/>
          <w:i/>
          <w:iCs/>
        </w:rPr>
      </w:pPr>
      <w:r w:rsidRPr="007A09C6">
        <w:rPr>
          <w:rFonts w:cs="Arial"/>
          <w:i/>
          <w:iCs/>
        </w:rPr>
        <w:t xml:space="preserve">Box Plot: Population Density (People/km2) </w:t>
      </w:r>
    </w:p>
    <w:p w14:paraId="5BECE164" w14:textId="5BEB9D78" w:rsidR="00917B2C" w:rsidRPr="007A09C6" w:rsidRDefault="00917B2C" w:rsidP="007A09C6">
      <w:pPr>
        <w:jc w:val="both"/>
        <w:rPr>
          <w:rFonts w:cs="Arial"/>
        </w:rPr>
      </w:pPr>
      <w:r w:rsidRPr="007A09C6">
        <w:rPr>
          <w:rFonts w:cs="Arial"/>
        </w:rPr>
        <w:drawing>
          <wp:inline distT="0" distB="0" distL="0" distR="0" wp14:anchorId="7904DCEE" wp14:editId="612C30DA">
            <wp:extent cx="5953125" cy="4429473"/>
            <wp:effectExtent l="0" t="0" r="0" b="9525"/>
            <wp:docPr id="680604039" name="Picture 1" descr="The diagram is a box plot representing the distribution of population density, with the values ranging from 0 to 25,000 people per square kilomet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04039" name="Picture 1" descr="The diagram is a box plot representing the distribution of population density, with the values ranging from 0 to 25,000 people per square kilometer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6306" cy="443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5284" w14:textId="77777777" w:rsidR="00917B2C" w:rsidRPr="007A09C6" w:rsidRDefault="00917B2C" w:rsidP="007A09C6">
      <w:pPr>
        <w:pStyle w:val="ListParagraph"/>
        <w:numPr>
          <w:ilvl w:val="0"/>
          <w:numId w:val="12"/>
        </w:numPr>
        <w:jc w:val="both"/>
        <w:rPr>
          <w:rFonts w:cs="Arial"/>
        </w:rPr>
      </w:pPr>
      <w:r w:rsidRPr="007A09C6">
        <w:rPr>
          <w:rFonts w:cs="Arial"/>
          <w:b/>
          <w:bCs/>
        </w:rPr>
        <w:t>Distribution Shape:</w:t>
      </w:r>
      <w:r w:rsidRPr="007A09C6">
        <w:rPr>
          <w:rFonts w:cs="Arial"/>
        </w:rPr>
        <w:t xml:space="preserve"> Density is extremely </w:t>
      </w:r>
      <w:proofErr w:type="gramStart"/>
      <w:r w:rsidRPr="007A09C6">
        <w:rPr>
          <w:rFonts w:cs="Arial"/>
        </w:rPr>
        <w:t>right-skewed</w:t>
      </w:r>
      <w:proofErr w:type="gramEnd"/>
      <w:r w:rsidRPr="007A09C6">
        <w:rPr>
          <w:rFonts w:cs="Arial"/>
        </w:rPr>
        <w:t xml:space="preserve">, with a skewness coefficient of approximately 4.65. Most observations are concentrated </w:t>
      </w:r>
      <w:proofErr w:type="gramStart"/>
      <w:r w:rsidRPr="007A09C6">
        <w:rPr>
          <w:rFonts w:cs="Arial"/>
        </w:rPr>
        <w:t>at</w:t>
      </w:r>
      <w:proofErr w:type="gramEnd"/>
      <w:r w:rsidRPr="007A09C6">
        <w:rPr>
          <w:rFonts w:cs="Arial"/>
        </w:rPr>
        <w:t xml:space="preserve"> lower population densities, while a long tail extends to the right.</w:t>
      </w:r>
    </w:p>
    <w:p w14:paraId="439C4FB2" w14:textId="77777777" w:rsidR="00917B2C" w:rsidRPr="007A09C6" w:rsidRDefault="00917B2C" w:rsidP="007A09C6">
      <w:pPr>
        <w:pStyle w:val="ListParagraph"/>
        <w:numPr>
          <w:ilvl w:val="0"/>
          <w:numId w:val="12"/>
        </w:numPr>
        <w:jc w:val="both"/>
        <w:rPr>
          <w:rFonts w:cs="Arial"/>
        </w:rPr>
      </w:pPr>
      <w:r w:rsidRPr="007A09C6">
        <w:rPr>
          <w:rFonts w:cs="Arial"/>
          <w:b/>
          <w:bCs/>
        </w:rPr>
        <w:t>Key Metrics/Whiskers:</w:t>
      </w:r>
      <w:r w:rsidRPr="007A09C6">
        <w:rPr>
          <w:rFonts w:cs="Arial"/>
        </w:rPr>
        <w:t xml:space="preserve"> The upper whisker is around 4,000 people/km², while many observations extend far beyond the whisker, with some values above 20,000 people/km². These points are statistical outliers but may represent valid high-density urban areas.</w:t>
      </w:r>
    </w:p>
    <w:p w14:paraId="43FC77CF" w14:textId="2FA54EF0" w:rsidR="00917B2C" w:rsidRPr="007A09C6" w:rsidRDefault="00917B2C" w:rsidP="007A09C6">
      <w:pPr>
        <w:pStyle w:val="ListParagraph"/>
        <w:numPr>
          <w:ilvl w:val="0"/>
          <w:numId w:val="12"/>
        </w:numPr>
        <w:jc w:val="both"/>
        <w:rPr>
          <w:rFonts w:cs="Arial"/>
        </w:rPr>
      </w:pPr>
      <w:r w:rsidRPr="007A09C6">
        <w:rPr>
          <w:rFonts w:cs="Arial"/>
          <w:b/>
          <w:bCs/>
        </w:rPr>
        <w:t>Recommended Analytics Action:</w:t>
      </w:r>
      <w:r w:rsidRPr="007A09C6">
        <w:rPr>
          <w:rFonts w:cs="Arial"/>
        </w:rPr>
        <w:t xml:space="preserve"> Keep the valid high-density observations and apply a </w:t>
      </w:r>
      <w:proofErr w:type="gramStart"/>
      <w:r w:rsidRPr="007A09C6">
        <w:rPr>
          <w:rFonts w:cs="Arial"/>
        </w:rPr>
        <w:t>log(</w:t>
      </w:r>
      <w:proofErr w:type="gramEnd"/>
      <w:r w:rsidRPr="007A09C6">
        <w:rPr>
          <w:rFonts w:cs="Arial"/>
        </w:rPr>
        <w:t>1 + Density) transformation to reduce the strong right skew before modeling.</w:t>
      </w:r>
    </w:p>
    <w:p w14:paraId="036D4E4D" w14:textId="77777777" w:rsidR="007A09C6" w:rsidRPr="007A09C6" w:rsidRDefault="007A09C6">
      <w:pPr>
        <w:rPr>
          <w:rFonts w:cs="Arial"/>
          <w:b/>
          <w:bCs/>
        </w:rPr>
      </w:pPr>
      <w:r w:rsidRPr="007A09C6">
        <w:rPr>
          <w:rFonts w:cs="Arial"/>
          <w:b/>
          <w:bCs/>
        </w:rPr>
        <w:br w:type="page"/>
      </w:r>
    </w:p>
    <w:p w14:paraId="4189F143" w14:textId="0CC276AF" w:rsidR="00917B2C" w:rsidRPr="007A09C6" w:rsidRDefault="00917B2C" w:rsidP="007A09C6">
      <w:pPr>
        <w:pStyle w:val="ListParagraph"/>
        <w:numPr>
          <w:ilvl w:val="2"/>
          <w:numId w:val="17"/>
        </w:numPr>
        <w:jc w:val="both"/>
        <w:rPr>
          <w:rFonts w:cs="Arial"/>
          <w:i/>
          <w:iCs/>
        </w:rPr>
      </w:pPr>
      <w:r w:rsidRPr="007A09C6">
        <w:rPr>
          <w:rFonts w:cs="Arial"/>
          <w:i/>
          <w:iCs/>
        </w:rPr>
        <w:lastRenderedPageBreak/>
        <w:t xml:space="preserve">Histogram &amp; KDE: Driver Age Distribution </w:t>
      </w:r>
    </w:p>
    <w:p w14:paraId="07888B54" w14:textId="6EFFE2DC" w:rsidR="00917B2C" w:rsidRPr="007A09C6" w:rsidRDefault="00917B2C" w:rsidP="007A09C6">
      <w:pPr>
        <w:jc w:val="both"/>
        <w:rPr>
          <w:rFonts w:cs="Arial"/>
        </w:rPr>
      </w:pPr>
      <w:r w:rsidRPr="007A09C6">
        <w:rPr>
          <w:rFonts w:cs="Arial"/>
        </w:rPr>
        <w:drawing>
          <wp:inline distT="0" distB="0" distL="0" distR="0" wp14:anchorId="69AEF7F9" wp14:editId="0E1F4F08">
            <wp:extent cx="5997405" cy="4057650"/>
            <wp:effectExtent l="0" t="0" r="3810" b="0"/>
            <wp:docPr id="1873428748" name="Picture 1" descr="The image displays a histogram and KDE (Kernel Density Estimate) graph showing the distribution of driver ages, ranging from 0 to 100 years, with age intervals at 20-year intervals and corresponding 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28748" name="Picture 1" descr="The image displays a histogram and KDE (Kernel Density Estimate) graph showing the distribution of driver ages, ranging from 0 to 100 years, with age intervals at 20-year intervals and corresponding count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2790" cy="406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7287" w14:textId="77777777" w:rsidR="00917B2C" w:rsidRPr="007A09C6" w:rsidRDefault="00917B2C" w:rsidP="007A09C6">
      <w:pPr>
        <w:pStyle w:val="ListParagraph"/>
        <w:numPr>
          <w:ilvl w:val="0"/>
          <w:numId w:val="13"/>
        </w:numPr>
        <w:jc w:val="both"/>
        <w:rPr>
          <w:rFonts w:cs="Arial"/>
        </w:rPr>
      </w:pPr>
      <w:r w:rsidRPr="007A09C6">
        <w:rPr>
          <w:rFonts w:cs="Arial"/>
          <w:b/>
          <w:bCs/>
        </w:rPr>
        <w:t>Distribution Shape:</w:t>
      </w:r>
      <w:r w:rsidRPr="007A09C6">
        <w:rPr>
          <w:rFonts w:cs="Arial"/>
        </w:rPr>
        <w:t xml:space="preserve"> </w:t>
      </w:r>
      <w:proofErr w:type="spellStart"/>
      <w:r w:rsidRPr="007A09C6">
        <w:rPr>
          <w:rFonts w:cs="Arial"/>
        </w:rPr>
        <w:t>DrivAge</w:t>
      </w:r>
      <w:proofErr w:type="spellEnd"/>
      <w:r w:rsidRPr="007A09C6">
        <w:rPr>
          <w:rFonts w:cs="Arial"/>
        </w:rPr>
        <w:t xml:space="preserve"> is relatively symmetric and close to a bell-shaped distribution, with a skewness coefficient of approximately 0.44.</w:t>
      </w:r>
    </w:p>
    <w:p w14:paraId="73AB810D" w14:textId="77777777" w:rsidR="00917B2C" w:rsidRPr="007A09C6" w:rsidRDefault="00917B2C" w:rsidP="007A09C6">
      <w:pPr>
        <w:pStyle w:val="ListParagraph"/>
        <w:numPr>
          <w:ilvl w:val="0"/>
          <w:numId w:val="13"/>
        </w:numPr>
        <w:jc w:val="both"/>
        <w:rPr>
          <w:rFonts w:cs="Arial"/>
        </w:rPr>
      </w:pPr>
      <w:r w:rsidRPr="007A09C6">
        <w:rPr>
          <w:rFonts w:cs="Arial"/>
          <w:b/>
          <w:bCs/>
        </w:rPr>
        <w:t>Key Metrics/Whiskers:</w:t>
      </w:r>
      <w:r w:rsidRPr="007A09C6">
        <w:rPr>
          <w:rFonts w:cs="Arial"/>
        </w:rPr>
        <w:t xml:space="preserve"> Driver ages range from 18 to 100, and most drivers are concentrated between roughly 30 and 60 years old.</w:t>
      </w:r>
    </w:p>
    <w:p w14:paraId="1582D207" w14:textId="77777777" w:rsidR="00917B2C" w:rsidRPr="007A09C6" w:rsidRDefault="00917B2C" w:rsidP="007A09C6">
      <w:pPr>
        <w:pStyle w:val="ListParagraph"/>
        <w:numPr>
          <w:ilvl w:val="0"/>
          <w:numId w:val="13"/>
        </w:numPr>
        <w:jc w:val="both"/>
        <w:rPr>
          <w:rFonts w:cs="Arial"/>
        </w:rPr>
      </w:pPr>
      <w:r w:rsidRPr="007A09C6">
        <w:rPr>
          <w:rFonts w:cs="Arial"/>
          <w:b/>
          <w:bCs/>
        </w:rPr>
        <w:t>Recommended Analytics Action:</w:t>
      </w:r>
      <w:r w:rsidRPr="007A09C6">
        <w:rPr>
          <w:rFonts w:cs="Arial"/>
        </w:rPr>
        <w:t xml:space="preserve"> No log transformation or outlier trimming is needed. Standard Z-score scaling can be used before modeling.</w:t>
      </w:r>
    </w:p>
    <w:p w14:paraId="538C50AB" w14:textId="77777777" w:rsidR="00917B2C" w:rsidRPr="007A09C6" w:rsidRDefault="00917B2C" w:rsidP="007A09C6">
      <w:pPr>
        <w:jc w:val="both"/>
        <w:rPr>
          <w:rFonts w:cs="Arial"/>
          <w:lang w:val="vi-VN"/>
        </w:rPr>
      </w:pPr>
    </w:p>
    <w:p w14:paraId="13AC62FE" w14:textId="77777777" w:rsidR="00917B2C" w:rsidRPr="007A09C6" w:rsidRDefault="00917B2C" w:rsidP="007A09C6">
      <w:pPr>
        <w:jc w:val="both"/>
        <w:rPr>
          <w:rFonts w:cs="Arial"/>
          <w:lang w:val="vi-VN"/>
        </w:rPr>
      </w:pPr>
    </w:p>
    <w:p w14:paraId="5B1CB676" w14:textId="77777777" w:rsidR="00917B2C" w:rsidRPr="007A09C6" w:rsidRDefault="00917B2C" w:rsidP="007A09C6">
      <w:pPr>
        <w:jc w:val="both"/>
        <w:rPr>
          <w:rFonts w:cs="Arial"/>
          <w:lang w:val="vi-VN"/>
        </w:rPr>
      </w:pPr>
    </w:p>
    <w:p w14:paraId="07772FF8" w14:textId="77777777" w:rsidR="00917B2C" w:rsidRPr="007A09C6" w:rsidRDefault="00917B2C" w:rsidP="007A09C6">
      <w:pPr>
        <w:jc w:val="both"/>
        <w:rPr>
          <w:rFonts w:cs="Arial"/>
          <w:lang w:val="vi-VN"/>
        </w:rPr>
      </w:pPr>
    </w:p>
    <w:p w14:paraId="4BD6BF6C" w14:textId="77777777" w:rsidR="00917B2C" w:rsidRPr="007A09C6" w:rsidRDefault="00917B2C" w:rsidP="007A09C6">
      <w:pPr>
        <w:jc w:val="both"/>
        <w:rPr>
          <w:rFonts w:cs="Arial"/>
          <w:lang w:val="vi-VN"/>
        </w:rPr>
      </w:pPr>
    </w:p>
    <w:p w14:paraId="23621D6E" w14:textId="7F892833" w:rsidR="007A09C6" w:rsidRPr="008B005C" w:rsidRDefault="007A09C6">
      <w:pPr>
        <w:rPr>
          <w:rFonts w:cs="Arial"/>
          <w:b/>
          <w:bCs/>
          <w:lang w:val="vi-VN"/>
        </w:rPr>
      </w:pPr>
    </w:p>
    <w:p w14:paraId="3DA385FE" w14:textId="77777777" w:rsidR="008B005C" w:rsidRDefault="008B005C">
      <w:pPr>
        <w:rPr>
          <w:rFonts w:cs="Arial"/>
          <w:i/>
          <w:iCs/>
        </w:rPr>
      </w:pPr>
      <w:r>
        <w:rPr>
          <w:rFonts w:cs="Arial"/>
          <w:i/>
          <w:iCs/>
        </w:rPr>
        <w:br w:type="page"/>
      </w:r>
    </w:p>
    <w:p w14:paraId="56C00539" w14:textId="4BD8222A" w:rsidR="00917B2C" w:rsidRPr="007A09C6" w:rsidRDefault="00917B2C" w:rsidP="007A09C6">
      <w:pPr>
        <w:pStyle w:val="ListParagraph"/>
        <w:numPr>
          <w:ilvl w:val="2"/>
          <w:numId w:val="17"/>
        </w:numPr>
        <w:jc w:val="both"/>
        <w:rPr>
          <w:rFonts w:cs="Arial"/>
          <w:i/>
          <w:iCs/>
        </w:rPr>
      </w:pPr>
      <w:r w:rsidRPr="007A09C6">
        <w:rPr>
          <w:rFonts w:cs="Arial"/>
          <w:i/>
          <w:iCs/>
        </w:rPr>
        <w:lastRenderedPageBreak/>
        <w:t xml:space="preserve">Box Plot: </w:t>
      </w:r>
      <w:proofErr w:type="spellStart"/>
      <w:r w:rsidRPr="007A09C6">
        <w:rPr>
          <w:rFonts w:cs="Arial"/>
          <w:i/>
          <w:iCs/>
        </w:rPr>
        <w:t>BonusMalus</w:t>
      </w:r>
      <w:proofErr w:type="spellEnd"/>
      <w:r w:rsidRPr="007A09C6">
        <w:rPr>
          <w:rFonts w:cs="Arial"/>
          <w:i/>
          <w:iCs/>
        </w:rPr>
        <w:t xml:space="preserve"> Risk Index </w:t>
      </w:r>
    </w:p>
    <w:p w14:paraId="29E5BF31" w14:textId="71E6A1B4" w:rsidR="00917B2C" w:rsidRPr="007A09C6" w:rsidRDefault="00917B2C" w:rsidP="007A09C6">
      <w:pPr>
        <w:jc w:val="both"/>
        <w:rPr>
          <w:rFonts w:cs="Arial"/>
        </w:rPr>
      </w:pPr>
      <w:r w:rsidRPr="007A09C6">
        <w:rPr>
          <w:rFonts w:cs="Arial"/>
        </w:rPr>
        <w:drawing>
          <wp:inline distT="0" distB="0" distL="0" distR="0" wp14:anchorId="37D65A1F" wp14:editId="0DC02216">
            <wp:extent cx="5949025" cy="4448175"/>
            <wp:effectExtent l="0" t="0" r="0" b="0"/>
            <wp:docPr id="1503076933" name="Picture 1" descr="The diagram is a box plot showing the distribution of BonusMalus Risk Index scores, with a median score of 8, and the score range from 8 to 22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76933" name="Picture 1" descr="The diagram is a box plot showing the distribution of BonusMalus Risk Index scores, with a median score of 8, and the score range from 8 to 225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5448" cy="445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3BC4" w14:textId="77777777" w:rsidR="00917B2C" w:rsidRPr="007A09C6" w:rsidRDefault="00917B2C" w:rsidP="007A09C6">
      <w:pPr>
        <w:pStyle w:val="ListParagraph"/>
        <w:numPr>
          <w:ilvl w:val="0"/>
          <w:numId w:val="14"/>
        </w:numPr>
        <w:jc w:val="both"/>
        <w:rPr>
          <w:rFonts w:cs="Arial"/>
        </w:rPr>
      </w:pPr>
      <w:r w:rsidRPr="007A09C6">
        <w:rPr>
          <w:rFonts w:cs="Arial"/>
          <w:b/>
          <w:bCs/>
        </w:rPr>
        <w:t>Distribution Shape:</w:t>
      </w:r>
      <w:r w:rsidRPr="007A09C6">
        <w:rPr>
          <w:rFonts w:cs="Arial"/>
        </w:rPr>
        <w:t xml:space="preserve"> </w:t>
      </w:r>
      <w:proofErr w:type="spellStart"/>
      <w:r w:rsidRPr="007A09C6">
        <w:rPr>
          <w:rFonts w:cs="Arial"/>
        </w:rPr>
        <w:t>BonusMalus</w:t>
      </w:r>
      <w:proofErr w:type="spellEnd"/>
      <w:r w:rsidRPr="007A09C6">
        <w:rPr>
          <w:rFonts w:cs="Arial"/>
        </w:rPr>
        <w:t xml:space="preserve"> is moderately </w:t>
      </w:r>
      <w:proofErr w:type="gramStart"/>
      <w:r w:rsidRPr="007A09C6">
        <w:rPr>
          <w:rFonts w:cs="Arial"/>
        </w:rPr>
        <w:t>right-skewed</w:t>
      </w:r>
      <w:proofErr w:type="gramEnd"/>
      <w:r w:rsidRPr="007A09C6">
        <w:rPr>
          <w:rFonts w:cs="Arial"/>
        </w:rPr>
        <w:t>, with a skewness coefficient of approximately 1.73, with most values concentrated at the lower end of the distribution.</w:t>
      </w:r>
    </w:p>
    <w:p w14:paraId="3B22A2CC" w14:textId="77777777" w:rsidR="00917B2C" w:rsidRPr="007A09C6" w:rsidRDefault="00917B2C" w:rsidP="007A09C6">
      <w:pPr>
        <w:pStyle w:val="ListParagraph"/>
        <w:numPr>
          <w:ilvl w:val="0"/>
          <w:numId w:val="14"/>
        </w:numPr>
        <w:jc w:val="both"/>
        <w:rPr>
          <w:rFonts w:cs="Arial"/>
        </w:rPr>
      </w:pPr>
      <w:r w:rsidRPr="007A09C6">
        <w:rPr>
          <w:rFonts w:cs="Arial"/>
          <w:b/>
          <w:bCs/>
        </w:rPr>
        <w:t>Key Metrics/Whiskers:</w:t>
      </w:r>
      <w:r w:rsidRPr="007A09C6">
        <w:rPr>
          <w:rFonts w:cs="Arial"/>
        </w:rPr>
        <w:t xml:space="preserve"> Most scores are concentrated below 100, while values above the upper whisker appear as outliers and extend to approximately 230.</w:t>
      </w:r>
    </w:p>
    <w:p w14:paraId="3ACC48B9" w14:textId="77777777" w:rsidR="00917B2C" w:rsidRPr="007A09C6" w:rsidRDefault="00917B2C" w:rsidP="007A09C6">
      <w:pPr>
        <w:pStyle w:val="ListParagraph"/>
        <w:numPr>
          <w:ilvl w:val="0"/>
          <w:numId w:val="14"/>
        </w:numPr>
        <w:jc w:val="both"/>
        <w:rPr>
          <w:rFonts w:cs="Arial"/>
        </w:rPr>
      </w:pPr>
      <w:r w:rsidRPr="007A09C6">
        <w:rPr>
          <w:rFonts w:cs="Arial"/>
          <w:b/>
          <w:bCs/>
        </w:rPr>
        <w:t>Recommended Analytics Action:</w:t>
      </w:r>
      <w:r w:rsidRPr="007A09C6">
        <w:rPr>
          <w:rFonts w:cs="Arial"/>
        </w:rPr>
        <w:t xml:space="preserve"> These higher values represent valid high-risk drivers rather than data errors, so they should be retained. </w:t>
      </w:r>
      <w:proofErr w:type="spellStart"/>
      <w:r w:rsidRPr="007A09C6">
        <w:rPr>
          <w:rFonts w:cs="Arial"/>
        </w:rPr>
        <w:t>BonusMalus</w:t>
      </w:r>
      <w:proofErr w:type="spellEnd"/>
      <w:r w:rsidRPr="007A09C6">
        <w:rPr>
          <w:rFonts w:cs="Arial"/>
        </w:rPr>
        <w:t xml:space="preserve"> can be scaled, and a binary indicator such as </w:t>
      </w:r>
      <w:proofErr w:type="spellStart"/>
      <w:r w:rsidRPr="007A09C6">
        <w:rPr>
          <w:rFonts w:cs="Arial"/>
        </w:rPr>
        <w:t>Is_Surcharge_Driver</w:t>
      </w:r>
      <w:proofErr w:type="spellEnd"/>
      <w:r w:rsidRPr="007A09C6">
        <w:rPr>
          <w:rFonts w:cs="Arial"/>
        </w:rPr>
        <w:t xml:space="preserve"> = </w:t>
      </w:r>
      <w:proofErr w:type="spellStart"/>
      <w:r w:rsidRPr="007A09C6">
        <w:rPr>
          <w:rFonts w:cs="Arial"/>
        </w:rPr>
        <w:t>BonusMalus</w:t>
      </w:r>
      <w:proofErr w:type="spellEnd"/>
      <w:r w:rsidRPr="007A09C6">
        <w:rPr>
          <w:rFonts w:cs="Arial"/>
        </w:rPr>
        <w:t xml:space="preserve"> &gt; 100 can also be created.</w:t>
      </w:r>
    </w:p>
    <w:p w14:paraId="51BA6DE7" w14:textId="77777777" w:rsidR="00917B2C" w:rsidRPr="007A09C6" w:rsidRDefault="00917B2C" w:rsidP="007A09C6">
      <w:pPr>
        <w:jc w:val="both"/>
        <w:rPr>
          <w:rFonts w:cs="Arial"/>
          <w:lang w:val="vi-VN"/>
        </w:rPr>
      </w:pPr>
    </w:p>
    <w:p w14:paraId="391F9BD7" w14:textId="77777777" w:rsidR="00917B2C" w:rsidRPr="007A09C6" w:rsidRDefault="00917B2C" w:rsidP="007A09C6">
      <w:pPr>
        <w:jc w:val="both"/>
        <w:rPr>
          <w:rFonts w:cs="Arial"/>
          <w:lang w:val="vi-VN"/>
        </w:rPr>
      </w:pPr>
    </w:p>
    <w:p w14:paraId="7FEB6EDB" w14:textId="77777777" w:rsidR="00917B2C" w:rsidRPr="007A09C6" w:rsidRDefault="00917B2C" w:rsidP="007A09C6">
      <w:pPr>
        <w:jc w:val="both"/>
        <w:rPr>
          <w:rFonts w:cs="Arial"/>
          <w:lang w:val="vi-VN"/>
        </w:rPr>
      </w:pPr>
    </w:p>
    <w:p w14:paraId="1C347AF3" w14:textId="77777777" w:rsidR="00917B2C" w:rsidRPr="007A09C6" w:rsidRDefault="00917B2C" w:rsidP="007A09C6">
      <w:pPr>
        <w:jc w:val="both"/>
        <w:rPr>
          <w:rFonts w:cs="Arial"/>
          <w:lang w:val="vi-VN"/>
        </w:rPr>
      </w:pPr>
    </w:p>
    <w:p w14:paraId="4A0EA82A" w14:textId="7C4730C1" w:rsidR="00917B2C" w:rsidRPr="007A09C6" w:rsidRDefault="00917B2C" w:rsidP="007A09C6">
      <w:pPr>
        <w:pStyle w:val="ListParagraph"/>
        <w:numPr>
          <w:ilvl w:val="2"/>
          <w:numId w:val="17"/>
        </w:numPr>
        <w:jc w:val="both"/>
        <w:rPr>
          <w:rFonts w:cs="Arial"/>
          <w:i/>
          <w:iCs/>
        </w:rPr>
      </w:pPr>
      <w:r w:rsidRPr="007A09C6">
        <w:rPr>
          <w:rFonts w:cs="Arial"/>
          <w:i/>
          <w:iCs/>
        </w:rPr>
        <w:lastRenderedPageBreak/>
        <w:t xml:space="preserve">Histogram &amp; KDE: Vehicle Age Distribution </w:t>
      </w:r>
    </w:p>
    <w:p w14:paraId="0BAEE8C8" w14:textId="68DD63C3" w:rsidR="00917B2C" w:rsidRPr="007A09C6" w:rsidRDefault="00917B2C" w:rsidP="007A09C6">
      <w:pPr>
        <w:jc w:val="both"/>
        <w:rPr>
          <w:rFonts w:cs="Arial"/>
        </w:rPr>
      </w:pPr>
      <w:r w:rsidRPr="007A09C6">
        <w:rPr>
          <w:rFonts w:cs="Arial"/>
        </w:rPr>
        <w:drawing>
          <wp:inline distT="0" distB="0" distL="0" distR="0" wp14:anchorId="10491C0A" wp14:editId="23D3C656">
            <wp:extent cx="5803637" cy="3971925"/>
            <wp:effectExtent l="0" t="0" r="6985" b="0"/>
            <wp:docPr id="1155931903" name="Picture 1" descr="The image depicts a histogram and KDE (Kernel Density Estimate) showing the distribution of vehicle ages, with the number of vehicles ranging from 0 to 100 years, peaking at 200,000 vehic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31903" name="Picture 1" descr="The image depicts a histogram and KDE (Kernel Density Estimate) showing the distribution of vehicle ages, with the number of vehicles ranging from 0 to 100 years, peaking at 200,000 vehicl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2095" cy="397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2D9F" w14:textId="77777777" w:rsidR="00917B2C" w:rsidRPr="007A09C6" w:rsidRDefault="00917B2C" w:rsidP="007A09C6">
      <w:pPr>
        <w:pStyle w:val="ListParagraph"/>
        <w:numPr>
          <w:ilvl w:val="0"/>
          <w:numId w:val="15"/>
        </w:numPr>
        <w:jc w:val="both"/>
        <w:rPr>
          <w:rFonts w:cs="Arial"/>
        </w:rPr>
      </w:pPr>
      <w:r w:rsidRPr="007A09C6">
        <w:rPr>
          <w:rFonts w:cs="Arial"/>
          <w:b/>
          <w:bCs/>
        </w:rPr>
        <w:t>Distribution Shape:</w:t>
      </w:r>
      <w:r w:rsidRPr="007A09C6">
        <w:rPr>
          <w:rFonts w:cs="Arial"/>
        </w:rPr>
        <w:t xml:space="preserve"> VehAge is moderately </w:t>
      </w:r>
      <w:proofErr w:type="gramStart"/>
      <w:r w:rsidRPr="007A09C6">
        <w:rPr>
          <w:rFonts w:cs="Arial"/>
        </w:rPr>
        <w:t>right-skewed</w:t>
      </w:r>
      <w:proofErr w:type="gramEnd"/>
      <w:r w:rsidRPr="007A09C6">
        <w:rPr>
          <w:rFonts w:cs="Arial"/>
        </w:rPr>
        <w:t>, with a skewness coefficient of approximately 1.15. Most vehicles are concentrated at younger ages, with a long tail extending to the right.</w:t>
      </w:r>
    </w:p>
    <w:p w14:paraId="182108DA" w14:textId="77777777" w:rsidR="00917B2C" w:rsidRPr="007A09C6" w:rsidRDefault="00917B2C" w:rsidP="007A09C6">
      <w:pPr>
        <w:pStyle w:val="ListParagraph"/>
        <w:numPr>
          <w:ilvl w:val="0"/>
          <w:numId w:val="15"/>
        </w:numPr>
        <w:jc w:val="both"/>
        <w:rPr>
          <w:rFonts w:cs="Arial"/>
        </w:rPr>
      </w:pPr>
      <w:r w:rsidRPr="007A09C6">
        <w:rPr>
          <w:rFonts w:cs="Arial"/>
          <w:b/>
          <w:bCs/>
        </w:rPr>
        <w:t>Key Metrics/Whiskers:</w:t>
      </w:r>
      <w:r w:rsidRPr="007A09C6">
        <w:rPr>
          <w:rFonts w:cs="Arial"/>
        </w:rPr>
        <w:t xml:space="preserve"> Most vehicles are less than about 20 years old, while only a small number of observations extend to much older vehicle ages.</w:t>
      </w:r>
    </w:p>
    <w:p w14:paraId="465D4FBD" w14:textId="77777777" w:rsidR="00917B2C" w:rsidRPr="007A09C6" w:rsidRDefault="00917B2C" w:rsidP="007A09C6">
      <w:pPr>
        <w:pStyle w:val="ListParagraph"/>
        <w:numPr>
          <w:ilvl w:val="0"/>
          <w:numId w:val="15"/>
        </w:numPr>
        <w:jc w:val="both"/>
        <w:rPr>
          <w:rFonts w:cs="Arial"/>
        </w:rPr>
      </w:pPr>
      <w:r w:rsidRPr="007A09C6">
        <w:rPr>
          <w:rFonts w:cs="Arial"/>
          <w:b/>
          <w:bCs/>
        </w:rPr>
        <w:t>Recommended Analytics Action:</w:t>
      </w:r>
      <w:r w:rsidRPr="007A09C6">
        <w:rPr>
          <w:rFonts w:cs="Arial"/>
        </w:rPr>
        <w:t xml:space="preserve"> VehAge can be grouped into age categories or scaled before modeling to reduce the effect of the right-skewed distribution.</w:t>
      </w:r>
    </w:p>
    <w:p w14:paraId="08F576BD" w14:textId="5BC5A6D2" w:rsidR="00917B2C" w:rsidRPr="007A09C6" w:rsidRDefault="00917B2C" w:rsidP="007A09C6">
      <w:pPr>
        <w:jc w:val="both"/>
        <w:rPr>
          <w:rFonts w:cs="Arial"/>
          <w:b/>
          <w:bCs/>
          <w:color w:val="156082" w:themeColor="accent1"/>
          <w:sz w:val="28"/>
          <w:szCs w:val="28"/>
          <w:lang w:val="vi-VN"/>
        </w:rPr>
      </w:pPr>
      <w:r w:rsidRPr="007A09C6">
        <w:rPr>
          <w:rFonts w:cs="Arial"/>
          <w:b/>
          <w:bCs/>
          <w:color w:val="156082" w:themeColor="accent1"/>
          <w:sz w:val="28"/>
          <w:szCs w:val="28"/>
        </w:rPr>
        <w:t>Part 5: Production Pipeline Scripting &amp; Final PDF Export</w:t>
      </w:r>
    </w:p>
    <w:p w14:paraId="7A9216E8" w14:textId="4E32EDFB" w:rsidR="007A09C6" w:rsidRPr="007A09C6" w:rsidRDefault="007A09C6" w:rsidP="007A09C6">
      <w:pPr>
        <w:jc w:val="both"/>
        <w:rPr>
          <w:rFonts w:cs="Arial"/>
          <w:b/>
          <w:bCs/>
          <w:i/>
          <w:iCs/>
          <w:lang w:val="vi-VN"/>
        </w:rPr>
      </w:pPr>
      <w:r w:rsidRPr="007A09C6">
        <w:rPr>
          <w:rFonts w:cs="Arial"/>
          <w:b/>
          <w:bCs/>
          <w:i/>
          <w:iCs/>
        </w:rPr>
        <w:t xml:space="preserve">5.1 Build and execute </w:t>
      </w:r>
      <w:proofErr w:type="spellStart"/>
      <w:r w:rsidRPr="007A09C6">
        <w:rPr>
          <w:rFonts w:cs="Arial"/>
          <w:b/>
          <w:bCs/>
          <w:i/>
          <w:iCs/>
        </w:rPr>
        <w:t>src</w:t>
      </w:r>
      <w:proofErr w:type="spellEnd"/>
      <w:r w:rsidRPr="007A09C6">
        <w:rPr>
          <w:rFonts w:cs="Arial"/>
          <w:b/>
          <w:bCs/>
          <w:i/>
          <w:iCs/>
        </w:rPr>
        <w:t xml:space="preserve">/clean outliers.py from your terminal to generate data/cleaned business </w:t>
      </w:r>
      <w:proofErr w:type="spellStart"/>
      <w:proofErr w:type="gramStart"/>
      <w:r w:rsidRPr="007A09C6">
        <w:rPr>
          <w:rFonts w:cs="Arial"/>
          <w:b/>
          <w:bCs/>
          <w:i/>
          <w:iCs/>
        </w:rPr>
        <w:t>data.cusing</w:t>
      </w:r>
      <w:proofErr w:type="spellEnd"/>
      <w:proofErr w:type="gramEnd"/>
      <w:r w:rsidRPr="007A09C6">
        <w:rPr>
          <w:rFonts w:cs="Arial"/>
          <w:b/>
          <w:bCs/>
          <w:i/>
          <w:iCs/>
        </w:rPr>
        <w:t xml:space="preserve"> Tukey 1.5 × IQR bounds.</w:t>
      </w:r>
    </w:p>
    <w:p w14:paraId="504230E2" w14:textId="3EA0F019" w:rsidR="007A09C6" w:rsidRPr="007A09C6" w:rsidRDefault="007A09C6" w:rsidP="007A09C6">
      <w:pPr>
        <w:jc w:val="both"/>
        <w:rPr>
          <w:rFonts w:cs="Arial"/>
          <w:b/>
          <w:bCs/>
          <w:lang w:val="vi-VN"/>
        </w:rPr>
      </w:pPr>
      <w:r w:rsidRPr="007A09C6">
        <w:rPr>
          <w:rFonts w:cs="Arial"/>
          <w:b/>
          <w:bCs/>
          <w:lang w:val="vi-VN"/>
        </w:rPr>
        <w:drawing>
          <wp:inline distT="0" distB="0" distL="0" distR="0" wp14:anchorId="3F27CA0C" wp14:editId="47243316">
            <wp:extent cx="5943600" cy="995680"/>
            <wp:effectExtent l="0" t="0" r="0" b="0"/>
            <wp:docPr id="142559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0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FEF3" w14:textId="77131F06" w:rsidR="007A09C6" w:rsidRPr="007A09C6" w:rsidRDefault="007A09C6" w:rsidP="008B005C">
      <w:pPr>
        <w:ind w:firstLine="720"/>
        <w:jc w:val="both"/>
        <w:rPr>
          <w:rFonts w:cs="Arial"/>
          <w:lang w:val="vi-VN"/>
        </w:rPr>
      </w:pPr>
      <w:r w:rsidRPr="007A09C6">
        <w:rPr>
          <w:rFonts w:cs="Arial"/>
        </w:rPr>
        <w:lastRenderedPageBreak/>
        <w:t>A production outlier filtering script was created in src/clean_outliers.py to filter statistical outliers in the Density feature using the Tukey 1.5 × IQR method. The filtering process started with 678,013 records and removed 77,566 records</w:t>
      </w:r>
      <w:r w:rsidRPr="007A09C6">
        <w:rPr>
          <w:rFonts w:cs="Arial"/>
          <w:lang w:val="vi-VN"/>
        </w:rPr>
        <w:t xml:space="preserve"> (</w:t>
      </w:r>
      <w:r w:rsidRPr="007A09C6">
        <w:rPr>
          <w:rFonts w:cs="Arial"/>
        </w:rPr>
        <w:t xml:space="preserve">11.44% of the </w:t>
      </w:r>
      <w:r w:rsidRPr="007A09C6">
        <w:rPr>
          <w:rFonts w:cs="Arial"/>
        </w:rPr>
        <w:t>dataset</w:t>
      </w:r>
      <w:r w:rsidRPr="007A09C6">
        <w:rPr>
          <w:rFonts w:cs="Arial"/>
          <w:lang w:val="vi-VN"/>
        </w:rPr>
        <w:t>)</w:t>
      </w:r>
      <w:r w:rsidRPr="007A09C6">
        <w:rPr>
          <w:rFonts w:cs="Arial"/>
        </w:rPr>
        <w:t xml:space="preserve">. The final cleaned dataset contains 600,447 </w:t>
      </w:r>
      <w:r w:rsidRPr="007A09C6">
        <w:rPr>
          <w:rFonts w:cs="Arial"/>
        </w:rPr>
        <w:t>records</w:t>
      </w:r>
      <w:r w:rsidRPr="007A09C6">
        <w:rPr>
          <w:rFonts w:cs="Arial"/>
          <w:lang w:val="vi-VN"/>
        </w:rPr>
        <w:t>.</w:t>
      </w:r>
    </w:p>
    <w:sectPr w:rsidR="007A09C6" w:rsidRPr="007A0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29D7"/>
    <w:multiLevelType w:val="hybridMultilevel"/>
    <w:tmpl w:val="C5481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2050A"/>
    <w:multiLevelType w:val="hybridMultilevel"/>
    <w:tmpl w:val="1ABE6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A0DF8"/>
    <w:multiLevelType w:val="multilevel"/>
    <w:tmpl w:val="1F52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E1595"/>
    <w:multiLevelType w:val="multilevel"/>
    <w:tmpl w:val="3642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3002B"/>
    <w:multiLevelType w:val="multilevel"/>
    <w:tmpl w:val="48C660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F2F7F"/>
    <w:multiLevelType w:val="multilevel"/>
    <w:tmpl w:val="910A95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E3B50"/>
    <w:multiLevelType w:val="multilevel"/>
    <w:tmpl w:val="79EA861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6392AB5"/>
    <w:multiLevelType w:val="multilevel"/>
    <w:tmpl w:val="149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5754F"/>
    <w:multiLevelType w:val="multilevel"/>
    <w:tmpl w:val="5BBA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15E91"/>
    <w:multiLevelType w:val="multilevel"/>
    <w:tmpl w:val="6F0CA7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676431"/>
    <w:multiLevelType w:val="multilevel"/>
    <w:tmpl w:val="09D2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65892"/>
    <w:multiLevelType w:val="hybridMultilevel"/>
    <w:tmpl w:val="5EB84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A75FED"/>
    <w:multiLevelType w:val="hybridMultilevel"/>
    <w:tmpl w:val="9940D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2E76E9"/>
    <w:multiLevelType w:val="hybridMultilevel"/>
    <w:tmpl w:val="2DEC1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963579"/>
    <w:multiLevelType w:val="multilevel"/>
    <w:tmpl w:val="281E94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847552"/>
    <w:multiLevelType w:val="multilevel"/>
    <w:tmpl w:val="22B2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97704"/>
    <w:multiLevelType w:val="multilevel"/>
    <w:tmpl w:val="27D2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700925">
    <w:abstractNumId w:val="8"/>
  </w:num>
  <w:num w:numId="2" w16cid:durableId="1050612867">
    <w:abstractNumId w:val="3"/>
  </w:num>
  <w:num w:numId="3" w16cid:durableId="1939874706">
    <w:abstractNumId w:val="2"/>
  </w:num>
  <w:num w:numId="4" w16cid:durableId="360714716">
    <w:abstractNumId w:val="10"/>
  </w:num>
  <w:num w:numId="5" w16cid:durableId="760905534">
    <w:abstractNumId w:val="15"/>
  </w:num>
  <w:num w:numId="6" w16cid:durableId="344482095">
    <w:abstractNumId w:val="1"/>
  </w:num>
  <w:num w:numId="7" w16cid:durableId="1697536847">
    <w:abstractNumId w:val="16"/>
  </w:num>
  <w:num w:numId="8" w16cid:durableId="1093893315">
    <w:abstractNumId w:val="4"/>
  </w:num>
  <w:num w:numId="9" w16cid:durableId="245579785">
    <w:abstractNumId w:val="5"/>
  </w:num>
  <w:num w:numId="10" w16cid:durableId="1305625189">
    <w:abstractNumId w:val="9"/>
  </w:num>
  <w:num w:numId="11" w16cid:durableId="1958751993">
    <w:abstractNumId w:val="14"/>
  </w:num>
  <w:num w:numId="12" w16cid:durableId="1201896532">
    <w:abstractNumId w:val="0"/>
  </w:num>
  <w:num w:numId="13" w16cid:durableId="252057810">
    <w:abstractNumId w:val="12"/>
  </w:num>
  <w:num w:numId="14" w16cid:durableId="1197625107">
    <w:abstractNumId w:val="11"/>
  </w:num>
  <w:num w:numId="15" w16cid:durableId="1005013873">
    <w:abstractNumId w:val="13"/>
  </w:num>
  <w:num w:numId="16" w16cid:durableId="797840058">
    <w:abstractNumId w:val="7"/>
  </w:num>
  <w:num w:numId="17" w16cid:durableId="1314873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66"/>
    <w:rsid w:val="00450596"/>
    <w:rsid w:val="007A09C6"/>
    <w:rsid w:val="008B005C"/>
    <w:rsid w:val="00917B2C"/>
    <w:rsid w:val="00D63F50"/>
    <w:rsid w:val="00F7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F5DE3"/>
  <w15:chartTrackingRefBased/>
  <w15:docId w15:val="{2437CF5E-C939-4DAE-A1C4-560CC4B7C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905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Ngo</dc:creator>
  <cp:keywords/>
  <dc:description/>
  <cp:lastModifiedBy>Anh Ngo</cp:lastModifiedBy>
  <cp:revision>2</cp:revision>
  <dcterms:created xsi:type="dcterms:W3CDTF">2026-09-14T03:59:00Z</dcterms:created>
  <dcterms:modified xsi:type="dcterms:W3CDTF">2026-09-14T04:36:00Z</dcterms:modified>
</cp:coreProperties>
</file>