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List of recent papers that address the problem of class imbalances in Convoluted Neural Networks (CNN):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Deep Convolutional Neural Network Model to Classify Heartbeats (Acharyaa et al., August 2017)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Clinical Text Classification with Rule-based Features and Knowledge-guided Convolutional Neural Networks (Yao et al., July 2018): “identifying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trigger phrases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, predicting classes with very few examples using trigger phrases and training a convolutional neural network with word embeddings and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Unified Medical Language System (UMLS) entity embeddings.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LeGR: Filter Pruning via Learned Global Ranking (Chin et al., April 2019)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systematic study of the class imbalance problem in convolutional neural networks (Buda et al., October 2018). Summarize the main methods: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Oversampling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Undersampling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Thresholding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One-class classification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Cost-sensitive learning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Hybrid method: SMOTE boosting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Convolutional Neural Networks for Biomedical Text Classification: Application in Indexing Biomedical Articles (Rios et al., Sep 2015). From their further research directions: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First, we will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study deeper CNNs utilizing more sophisticated max-pooling procedures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Dynamic max-pooling methods have been proposed for text classification with CNNs.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Cerebral Micro-Bleed Detection Based on the Convolution Neural Network With Rank Based Average Pooling (Wang et al., August 2017): “use different structures of the CNN with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rank-based average pooling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to detect the CMB, and compare this method used in this paper to the current state-of-the-art methods.”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Deep Learning for Imbalanced Multimedia Data Classification (Yan et al., December 2015): “integration of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bootstrapping methods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a state-of-the-art deep learning approach, Convolutional Neural Networks (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CNNs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), with extensive empirical studies.”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