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E47D" w14:textId="5D9387FF" w:rsidR="00A326AA" w:rsidRDefault="004E07A7">
      <w:pPr>
        <w:pStyle w:val="FirstParagraph"/>
      </w:pPr>
      <w:r>
        <w:t>Weed communities in three cropping systems suitable for the Midwestern USA were studied from 2017 through 2020 to examine how crop diversification and the intensity of herbicide use affected weed community diversity, stand density, and aboveground mass. A baseline 2-year cropping system with corn (</w:t>
      </w:r>
      <w:r>
        <w:rPr>
          <w:i/>
          <w:iCs/>
        </w:rPr>
        <w:t>Zea mays</w:t>
      </w:r>
      <w:r>
        <w:t xml:space="preserve"> L.) and soybean (</w:t>
      </w:r>
      <w:r>
        <w:rPr>
          <w:i/>
          <w:iCs/>
        </w:rPr>
        <w:t>Glycine max</w:t>
      </w:r>
      <w:r>
        <w:t xml:space="preserve"> (L.) Merr.) grown in alternate years was diversified with cool-season crops, namely oat (</w:t>
      </w:r>
      <w:r>
        <w:rPr>
          <w:i/>
          <w:iCs/>
        </w:rPr>
        <w:t>Avena sativa</w:t>
      </w:r>
      <w:r>
        <w:t xml:space="preserve"> L.), red clover (</w:t>
      </w:r>
      <w:r>
        <w:rPr>
          <w:i/>
          <w:iCs/>
        </w:rPr>
        <w:t>Trifolium pratense</w:t>
      </w:r>
      <w:r>
        <w:t xml:space="preserve"> L.), and alfalfa (</w:t>
      </w:r>
      <w:r>
        <w:rPr>
          <w:i/>
          <w:iCs/>
        </w:rPr>
        <w:t>Medicago sativa</w:t>
      </w:r>
      <w:r>
        <w:t xml:space="preserve"> L.) in 3-year and 4-year systems. Herbicide was not applied in the cool-season crops. This study was pursued to address the current gap</w:t>
      </w:r>
      <w:r w:rsidR="00EE6A9A">
        <w:t>s</w:t>
      </w:r>
      <w:r>
        <w:t xml:space="preserve"> of information concerning </w:t>
      </w:r>
      <w:r w:rsidR="00EE6A9A">
        <w:t xml:space="preserve">how the densities and biomass of various weed species respond </w:t>
      </w:r>
      <w:r>
        <w:t>to the filtering effects of different crop and weed management programs (Fried et al., 2012; Ryan et al., 2010).</w:t>
      </w:r>
    </w:p>
    <w:p w14:paraId="184F7637" w14:textId="45C7EF9C" w:rsidR="00A326AA" w:rsidRDefault="004E07A7">
      <w:pPr>
        <w:pStyle w:val="BodyText"/>
      </w:pPr>
      <w:r>
        <w:t xml:space="preserve">Changing </w:t>
      </w:r>
      <w:r w:rsidR="00EE6A9A">
        <w:t xml:space="preserve">the </w:t>
      </w:r>
      <w:r>
        <w:t>weed management regime from broadcast to banded application and interrow cultivation in corn and omitting herbicide</w:t>
      </w:r>
      <w:r w:rsidR="00EE6A9A">
        <w:t>s</w:t>
      </w:r>
      <w:r>
        <w:t xml:space="preserve"> in cool-season crops of the 3-year and 4-year rotations resulted in an overall reduction of </w:t>
      </w:r>
      <w:r w:rsidR="00EE6A9A">
        <w:t xml:space="preserve">in the mass of </w:t>
      </w:r>
      <w:r>
        <w:t xml:space="preserve">herbicide </w:t>
      </w:r>
      <w:r w:rsidR="00EE6A9A">
        <w:t>active ingredients applied</w:t>
      </w:r>
      <w:r>
        <w:t>. The reduction in the mass of herbicide active ingredients was associated with increases in weed stand density, aboveground mass, and community diversity</w:t>
      </w:r>
      <w:r w:rsidR="00395635">
        <w:t>. In the cool-season crop</w:t>
      </w:r>
      <w:r w:rsidR="00F47BE2">
        <w:t xml:space="preserve"> </w:t>
      </w:r>
      <w:r w:rsidR="00395635">
        <w:t>phases</w:t>
      </w:r>
      <w:r w:rsidR="00B77A94">
        <w:t xml:space="preserve"> (oat, red clover, and alfalfa)</w:t>
      </w:r>
      <w:r w:rsidR="00395635">
        <w:t xml:space="preserve"> of the 3-year and 4-year rotations, weed emergence increased</w:t>
      </w:r>
      <w:r w:rsidR="008C21EE">
        <w:t>,</w:t>
      </w:r>
      <w:r w:rsidR="00395635">
        <w:t xml:space="preserve"> but weed growth </w:t>
      </w:r>
      <w:r w:rsidR="00EE6A9A">
        <w:t xml:space="preserve">did </w:t>
      </w:r>
      <w:r w:rsidR="00395635">
        <w:t>not</w:t>
      </w:r>
      <w:r w:rsidR="00EE6A9A">
        <w:t xml:space="preserve"> increase</w:t>
      </w:r>
      <w:r w:rsidR="00395635">
        <w:t>, as compared with the warm-season crop</w:t>
      </w:r>
      <w:r w:rsidR="00B77A94">
        <w:t xml:space="preserve"> (corn and soybean)</w:t>
      </w:r>
      <w:r w:rsidR="00395635">
        <w:t xml:space="preserve"> environments.</w:t>
      </w:r>
      <w:r>
        <w:t xml:space="preserve"> Increased weed abundance (Figure 1) under </w:t>
      </w:r>
      <w:r w:rsidR="00FF58A0">
        <w:t>the lower-herbicide</w:t>
      </w:r>
      <w:r>
        <w:t xml:space="preserve"> </w:t>
      </w:r>
      <w:r w:rsidR="00FF58A0">
        <w:t>regime</w:t>
      </w:r>
      <w:r w:rsidR="00F47BE2">
        <w:t xml:space="preserve"> </w:t>
      </w:r>
      <w:r>
        <w:t>(Table 1) was not associated with crop yield loss (Figure 2</w:t>
      </w:r>
      <w:r w:rsidR="00395635">
        <w:t>).</w:t>
      </w:r>
    </w:p>
    <w:p w14:paraId="5958D8F1" w14:textId="77777777" w:rsidR="00395635" w:rsidRDefault="00395635">
      <w:pPr>
        <w:pStyle w:val="BodyText"/>
      </w:pPr>
    </w:p>
    <w:p w14:paraId="06D99971" w14:textId="6168AA15" w:rsidR="00395635" w:rsidRDefault="00395635">
      <w:pPr>
        <w:pStyle w:val="BodyText"/>
      </w:pPr>
      <w:r>
        <w:rPr>
          <w:noProof/>
        </w:rPr>
        <w:drawing>
          <wp:inline distT="0" distB="0" distL="0" distR="0" wp14:anchorId="0751E1D7" wp14:editId="3835BCDC">
            <wp:extent cx="5816600" cy="3771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6600" cy="3771900"/>
                    </a:xfrm>
                    <a:prstGeom prst="rect">
                      <a:avLst/>
                    </a:prstGeom>
                  </pic:spPr>
                </pic:pic>
              </a:graphicData>
            </a:graphic>
          </wp:inline>
        </w:drawing>
      </w:r>
    </w:p>
    <w:p w14:paraId="145A6E81" w14:textId="2074F1DB" w:rsidR="00DB2F9B" w:rsidRDefault="00395635">
      <w:pPr>
        <w:pStyle w:val="BodyText"/>
      </w:pPr>
      <w:r>
        <w:lastRenderedPageBreak/>
        <w:t xml:space="preserve">Figure 1: </w:t>
      </w:r>
      <w:r w:rsidRPr="00395635">
        <w:t>Weed abundance in three cropping systems. The abbreviations on the x-axis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4-year rotation, O3 - oat in the 3-year rotation, O4 - oat in the 4-year rotation, and A4 - alfalfa in the 4-year rotation)</w:t>
      </w:r>
      <w:r w:rsidR="00065721">
        <w:t xml:space="preserve">. </w:t>
      </w:r>
    </w:p>
    <w:p w14:paraId="36ACD979" w14:textId="45109848" w:rsidR="00D27E70" w:rsidRDefault="00395635">
      <w:pPr>
        <w:pStyle w:val="BodyText"/>
      </w:pPr>
      <w:r>
        <w:t xml:space="preserve">Table 1: </w:t>
      </w:r>
      <w:r w:rsidR="00FF58A0">
        <w:t xml:space="preserve">Changes in the mass of herbicide active ingredients applied </w:t>
      </w:r>
      <w:r w:rsidR="00DB2F9B">
        <w:t>in more diverse cropping systems as compared to a conventional 2-year corn and soybean system</w:t>
      </w:r>
      <w:r w:rsidR="00065721">
        <w:t xml:space="preserve"> averaged from 2017 through 2020</w:t>
      </w:r>
    </w:p>
    <w:tbl>
      <w:tblPr>
        <w:tblStyle w:val="TableGrid"/>
        <w:tblW w:w="6848" w:type="dxa"/>
        <w:jc w:val="center"/>
        <w:tblLook w:val="04A0" w:firstRow="1" w:lastRow="0" w:firstColumn="1" w:lastColumn="0" w:noHBand="0" w:noVBand="1"/>
      </w:tblPr>
      <w:tblGrid>
        <w:gridCol w:w="3806"/>
        <w:gridCol w:w="1014"/>
        <w:gridCol w:w="1014"/>
        <w:gridCol w:w="1014"/>
      </w:tblGrid>
      <w:tr w:rsidR="00065721" w14:paraId="1BA6FB7D" w14:textId="77777777" w:rsidTr="0093079E">
        <w:trPr>
          <w:jc w:val="center"/>
        </w:trPr>
        <w:tc>
          <w:tcPr>
            <w:tcW w:w="3806" w:type="dxa"/>
          </w:tcPr>
          <w:p w14:paraId="04528527" w14:textId="77777777" w:rsidR="00065721" w:rsidRDefault="00065721">
            <w:pPr>
              <w:pStyle w:val="BodyText"/>
            </w:pPr>
          </w:p>
        </w:tc>
        <w:tc>
          <w:tcPr>
            <w:tcW w:w="1014" w:type="dxa"/>
          </w:tcPr>
          <w:p w14:paraId="6CCADFF0" w14:textId="4275D4B3" w:rsidR="00065721" w:rsidRDefault="00065721">
            <w:pPr>
              <w:pStyle w:val="BodyText"/>
            </w:pPr>
            <w:r>
              <w:t>2-year</w:t>
            </w:r>
          </w:p>
        </w:tc>
        <w:tc>
          <w:tcPr>
            <w:tcW w:w="1014" w:type="dxa"/>
          </w:tcPr>
          <w:p w14:paraId="3DFDF1EC" w14:textId="623FC312" w:rsidR="00065721" w:rsidRDefault="00065721">
            <w:pPr>
              <w:pStyle w:val="BodyText"/>
            </w:pPr>
            <w:r>
              <w:t>3-year</w:t>
            </w:r>
          </w:p>
        </w:tc>
        <w:tc>
          <w:tcPr>
            <w:tcW w:w="1014" w:type="dxa"/>
          </w:tcPr>
          <w:p w14:paraId="5236CEC3" w14:textId="1F7C2855" w:rsidR="00065721" w:rsidRDefault="00065721">
            <w:pPr>
              <w:pStyle w:val="BodyText"/>
            </w:pPr>
            <w:r>
              <w:t>4-year</w:t>
            </w:r>
          </w:p>
        </w:tc>
      </w:tr>
      <w:tr w:rsidR="00065721" w14:paraId="5A48BFC1" w14:textId="77777777" w:rsidTr="0093079E">
        <w:trPr>
          <w:jc w:val="center"/>
        </w:trPr>
        <w:tc>
          <w:tcPr>
            <w:tcW w:w="3806" w:type="dxa"/>
          </w:tcPr>
          <w:p w14:paraId="700AAC6B" w14:textId="69A9B818" w:rsidR="00065721" w:rsidRDefault="00065721">
            <w:pPr>
              <w:pStyle w:val="BodyText"/>
            </w:pPr>
            <w:r>
              <w:t>Conventional weed management</w:t>
            </w:r>
          </w:p>
        </w:tc>
        <w:tc>
          <w:tcPr>
            <w:tcW w:w="1014" w:type="dxa"/>
          </w:tcPr>
          <w:p w14:paraId="6485860C" w14:textId="1256D175" w:rsidR="00065721" w:rsidRDefault="00065721">
            <w:pPr>
              <w:pStyle w:val="BodyText"/>
            </w:pPr>
            <w:r>
              <w:t>-0%</w:t>
            </w:r>
          </w:p>
        </w:tc>
        <w:tc>
          <w:tcPr>
            <w:tcW w:w="1014" w:type="dxa"/>
          </w:tcPr>
          <w:p w14:paraId="717459E4" w14:textId="4D4AFC55" w:rsidR="00065721" w:rsidRDefault="0093079E">
            <w:pPr>
              <w:pStyle w:val="BodyText"/>
            </w:pPr>
            <w:r>
              <w:t>-33%</w:t>
            </w:r>
          </w:p>
        </w:tc>
        <w:tc>
          <w:tcPr>
            <w:tcW w:w="1014" w:type="dxa"/>
          </w:tcPr>
          <w:p w14:paraId="17A97060" w14:textId="31353BF7" w:rsidR="00065721" w:rsidRDefault="0093079E">
            <w:pPr>
              <w:pStyle w:val="BodyText"/>
            </w:pPr>
            <w:r>
              <w:t>-50%</w:t>
            </w:r>
          </w:p>
        </w:tc>
      </w:tr>
      <w:tr w:rsidR="00065721" w14:paraId="2C6AAE8F" w14:textId="77777777" w:rsidTr="0093079E">
        <w:trPr>
          <w:jc w:val="center"/>
        </w:trPr>
        <w:tc>
          <w:tcPr>
            <w:tcW w:w="3806" w:type="dxa"/>
          </w:tcPr>
          <w:p w14:paraId="33F147C0" w14:textId="5688A6F1" w:rsidR="00065721" w:rsidRDefault="00065721">
            <w:pPr>
              <w:pStyle w:val="BodyText"/>
            </w:pPr>
            <w:r>
              <w:t>Low herbicide weed management</w:t>
            </w:r>
          </w:p>
        </w:tc>
        <w:tc>
          <w:tcPr>
            <w:tcW w:w="1014" w:type="dxa"/>
          </w:tcPr>
          <w:p w14:paraId="4A5A5529" w14:textId="06BD5CE0" w:rsidR="00065721" w:rsidRDefault="00065721">
            <w:pPr>
              <w:pStyle w:val="BodyText"/>
            </w:pPr>
            <w:r>
              <w:t>-13%</w:t>
            </w:r>
          </w:p>
        </w:tc>
        <w:tc>
          <w:tcPr>
            <w:tcW w:w="1014" w:type="dxa"/>
          </w:tcPr>
          <w:p w14:paraId="0681D985" w14:textId="5F5671C1" w:rsidR="00065721" w:rsidRDefault="00065721">
            <w:pPr>
              <w:pStyle w:val="BodyText"/>
            </w:pPr>
            <w:r>
              <w:t>-42%</w:t>
            </w:r>
          </w:p>
        </w:tc>
        <w:tc>
          <w:tcPr>
            <w:tcW w:w="1014" w:type="dxa"/>
          </w:tcPr>
          <w:p w14:paraId="3E826BB4" w14:textId="4BC7272D" w:rsidR="00065721" w:rsidRDefault="00065721">
            <w:pPr>
              <w:pStyle w:val="BodyText"/>
            </w:pPr>
            <w:r>
              <w:t>-5</w:t>
            </w:r>
            <w:r w:rsidR="0093079E">
              <w:t>7</w:t>
            </w:r>
            <w:r>
              <w:t>%</w:t>
            </w:r>
          </w:p>
        </w:tc>
      </w:tr>
    </w:tbl>
    <w:p w14:paraId="4AD0F7D9" w14:textId="77777777" w:rsidR="00065721" w:rsidRDefault="00065721">
      <w:pPr>
        <w:pStyle w:val="BodyText"/>
      </w:pPr>
    </w:p>
    <w:p w14:paraId="65CA7DB3" w14:textId="2445314B" w:rsidR="0093079E" w:rsidRPr="0093079E" w:rsidRDefault="0093079E" w:rsidP="0093079E"/>
    <w:p w14:paraId="0D80C7FE" w14:textId="2085022A" w:rsidR="0093079E" w:rsidRPr="0093079E" w:rsidRDefault="0093079E" w:rsidP="0093079E"/>
    <w:p w14:paraId="29B0C326" w14:textId="7D3B63FD" w:rsidR="0093079E" w:rsidRPr="0093079E" w:rsidRDefault="0093079E" w:rsidP="0093079E"/>
    <w:p w14:paraId="6A77E348" w14:textId="14574376" w:rsidR="0093079E" w:rsidRPr="0093079E" w:rsidRDefault="0093079E" w:rsidP="0093079E"/>
    <w:p w14:paraId="72C3B478" w14:textId="58EF5F0C" w:rsidR="0093079E" w:rsidRPr="0093079E" w:rsidRDefault="0093079E" w:rsidP="0093079E"/>
    <w:p w14:paraId="721E2826" w14:textId="09F71D03" w:rsidR="0093079E" w:rsidRPr="0093079E" w:rsidRDefault="0093079E" w:rsidP="0093079E"/>
    <w:p w14:paraId="6820C272" w14:textId="4BD07EC2" w:rsidR="0093079E" w:rsidRPr="0093079E" w:rsidRDefault="0093079E" w:rsidP="0093079E"/>
    <w:p w14:paraId="189BAF2C" w14:textId="279BE488" w:rsidR="0093079E" w:rsidRPr="0093079E" w:rsidRDefault="0093079E" w:rsidP="0093079E"/>
    <w:p w14:paraId="229AFC11" w14:textId="2EC4D6AB" w:rsidR="0093079E" w:rsidRPr="0093079E" w:rsidRDefault="0093079E" w:rsidP="0093079E"/>
    <w:p w14:paraId="506C2454" w14:textId="5FBA8BEC" w:rsidR="0093079E" w:rsidRPr="0093079E" w:rsidRDefault="0093079E" w:rsidP="0093079E"/>
    <w:p w14:paraId="1296BBAC" w14:textId="3BAA6E48" w:rsidR="0093079E" w:rsidRDefault="0093079E" w:rsidP="0093079E">
      <w:pPr>
        <w:rPr>
          <w:i/>
          <w:iCs/>
        </w:rPr>
      </w:pPr>
    </w:p>
    <w:p w14:paraId="14558DDC" w14:textId="77777777" w:rsidR="0093079E" w:rsidRPr="0093079E" w:rsidRDefault="0093079E" w:rsidP="0093079E">
      <w:pPr>
        <w:jc w:val="center"/>
      </w:pPr>
    </w:p>
    <w:p w14:paraId="1C1D3876" w14:textId="54226FD2" w:rsidR="00395635" w:rsidRDefault="00395635">
      <w:pPr>
        <w:pStyle w:val="BodyText"/>
      </w:pPr>
      <w:r>
        <w:rPr>
          <w:noProof/>
        </w:rPr>
        <w:lastRenderedPageBreak/>
        <w:drawing>
          <wp:inline distT="0" distB="0" distL="0" distR="0" wp14:anchorId="4828BAEF" wp14:editId="65EC683F">
            <wp:extent cx="5943600" cy="4358005"/>
            <wp:effectExtent l="0" t="0" r="0" b="0"/>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76E192F9" w14:textId="6B3C5C2B" w:rsidR="00395635" w:rsidRDefault="00395635">
      <w:pPr>
        <w:pStyle w:val="BodyText"/>
      </w:pPr>
      <w:r>
        <w:t xml:space="preserve">Figure 2: </w:t>
      </w:r>
      <w:r w:rsidRPr="00395635">
        <w:t xml:space="preserve">Mean crop yields by rotation from 2017 to 2020. The color-coded bars show </w:t>
      </w:r>
      <w:r w:rsidR="008C21EE">
        <w:t xml:space="preserve">the experimental plots' </w:t>
      </w:r>
      <w:r w:rsidRPr="00395635">
        <w:t>crop yields (Mg</w:t>
      </w:r>
      <w:r>
        <w:t>/</w:t>
      </w:r>
      <w:r w:rsidRPr="00395635">
        <w:t>ha). The error bars show the 95% confidence intervals. The solid horizontal lines show mean yields for Iowa</w:t>
      </w:r>
      <w:r w:rsidR="008C21EE">
        <w:t>,</w:t>
      </w:r>
      <w:r w:rsidRPr="00395635">
        <w:t xml:space="preserve"> and dashed lines show mean yields for Boone County. Corn, soybean, and alfalfa yields in the experiment were averaged over four years, oat grain yields in the experiment were averaged over 2017, 2019, and 2020 because</w:t>
      </w:r>
      <w:r w:rsidR="008C21EE">
        <w:t>,</w:t>
      </w:r>
      <w:r w:rsidRPr="00395635">
        <w:t xml:space="preserve"> in 2018</w:t>
      </w:r>
      <w:r w:rsidR="008C21EE">
        <w:t>,</w:t>
      </w:r>
      <w:r w:rsidRPr="00395635">
        <w:t xml:space="preserve"> oat was harvested for hay. Boone County and Iowa hay yields were average</w:t>
      </w:r>
      <w:r w:rsidR="00F47BE2">
        <w:t xml:space="preserve">d </w:t>
      </w:r>
      <w:r w:rsidR="00F47BE2" w:rsidRPr="00F47BE2">
        <w:t>over 2017 and 2018 because 2019 and 2020 yields were not available at this writing</w:t>
      </w:r>
      <w:r w:rsidR="00F47BE2">
        <w:t>.</w:t>
      </w:r>
    </w:p>
    <w:p w14:paraId="3B76D78D" w14:textId="76CECED4" w:rsidR="00A326AA" w:rsidRDefault="004E07A7">
      <w:pPr>
        <w:pStyle w:val="BodyText"/>
      </w:pPr>
      <w:r>
        <w:t>The dominance of aggressive weed species such as common waterhemp (</w:t>
      </w:r>
      <w:r>
        <w:rPr>
          <w:i/>
          <w:iCs/>
        </w:rPr>
        <w:t>Amaranthus tuberculatus</w:t>
      </w:r>
      <w:r>
        <w:t xml:space="preserve"> (Moq ex DC) J.D. Sauer) and common lambsquarter (</w:t>
      </w:r>
      <w:r>
        <w:rPr>
          <w:i/>
          <w:iCs/>
        </w:rPr>
        <w:t>Chenopodium album</w:t>
      </w:r>
      <w:r>
        <w:t xml:space="preserve"> L.) tended to be greater in corn and soybean phases of the rotations than in oat, red clover, and alfalfa.</w:t>
      </w:r>
    </w:p>
    <w:p w14:paraId="5937FF35" w14:textId="7EB3F5A2" w:rsidR="00A326AA" w:rsidRDefault="004E07A7">
      <w:pPr>
        <w:pStyle w:val="BodyText"/>
      </w:pPr>
      <w:r>
        <w:t>Weed seedbank density could be used as a sustainability indicator (</w:t>
      </w:r>
      <w:proofErr w:type="spellStart"/>
      <w:r>
        <w:t>Storkey</w:t>
      </w:r>
      <w:proofErr w:type="spellEnd"/>
      <w:r>
        <w:t xml:space="preserve"> and Neve, 2018</w:t>
      </w:r>
      <w:r w:rsidR="00F47BE2">
        <w:t xml:space="preserve">; </w:t>
      </w:r>
      <w:r w:rsidR="00F47BE2">
        <w:t>Liebman et al., 2021</w:t>
      </w:r>
      <w:r>
        <w:t>). By monitoring aboveground weed communities, a track record of species aggressiveness and collective response to management is available, and thus, it could be easier to control risks of weed resurgence and outbreak. Coupling knowledge of aboveground weed communities with that of weed seedbank composition and abundance would further improve our ability to predict and manage weed communities (Davis et al., 2005; Forcella et al., 1992; Forcella, 2003; Menalled et al., 2001).</w:t>
      </w:r>
    </w:p>
    <w:p w14:paraId="5104DA26" w14:textId="77777777" w:rsidR="00395635" w:rsidRDefault="004E07A7">
      <w:pPr>
        <w:pStyle w:val="BodyText"/>
      </w:pPr>
      <w:r>
        <w:lastRenderedPageBreak/>
        <w:t xml:space="preserve">The corresponding publication can be found at: </w:t>
      </w:r>
      <w:hyperlink r:id="rId9">
        <w:r>
          <w:rPr>
            <w:rStyle w:val="Hyperlink"/>
          </w:rPr>
          <w:t>https://www.frontiersin.org/articles/10.3389/fagro.2022.848548</w:t>
        </w:r>
      </w:hyperlink>
      <w:r>
        <w:t xml:space="preserve"> </w:t>
      </w:r>
    </w:p>
    <w:p w14:paraId="0A9E2519" w14:textId="77777777" w:rsidR="00395635" w:rsidRDefault="004E07A7">
      <w:pPr>
        <w:pStyle w:val="BodyText"/>
      </w:pPr>
      <w:r>
        <w:t>The data can be found at: &lt;</w:t>
      </w:r>
      <w:hyperlink r:id="rId10">
        <w:r>
          <w:rPr>
            <w:rStyle w:val="Hyperlink"/>
          </w:rPr>
          <w:t>https://doi.org/10.25380/iastate.19111376</w:t>
        </w:r>
      </w:hyperlink>
      <w:r>
        <w:t xml:space="preserve"> </w:t>
      </w:r>
    </w:p>
    <w:p w14:paraId="54467CEE" w14:textId="4231C6A3" w:rsidR="00A326AA" w:rsidRDefault="004E07A7">
      <w:pPr>
        <w:pStyle w:val="BodyText"/>
      </w:pPr>
      <w:r>
        <w:t xml:space="preserve">The code for data analysis can be found at: </w:t>
      </w:r>
      <w:hyperlink r:id="rId11">
        <w:r>
          <w:rPr>
            <w:rStyle w:val="Hyperlink"/>
          </w:rPr>
          <w:t>https://doi.org/10.5281/zenodo.5980943</w:t>
        </w:r>
      </w:hyperlink>
    </w:p>
    <w:p w14:paraId="14137028" w14:textId="5BEDAA5F" w:rsidR="00395635" w:rsidRPr="00F47BE2" w:rsidRDefault="00395635">
      <w:pPr>
        <w:pStyle w:val="Bibliography"/>
        <w:rPr>
          <w:b/>
          <w:bCs/>
        </w:rPr>
      </w:pPr>
      <w:bookmarkStart w:id="0" w:name="ref-davisWeedSeedbankCommunity2005"/>
      <w:bookmarkStart w:id="1" w:name="refs"/>
      <w:r w:rsidRPr="00F47BE2">
        <w:rPr>
          <w:b/>
          <w:bCs/>
        </w:rPr>
        <w:t>Reference</w:t>
      </w:r>
      <w:r w:rsidR="00F47BE2" w:rsidRPr="00F47BE2">
        <w:rPr>
          <w:b/>
          <w:bCs/>
        </w:rPr>
        <w:t>s</w:t>
      </w:r>
      <w:r w:rsidRPr="00F47BE2">
        <w:rPr>
          <w:b/>
          <w:bCs/>
        </w:rPr>
        <w:t>:</w:t>
      </w:r>
    </w:p>
    <w:p w14:paraId="2F3386C9" w14:textId="7001E74D" w:rsidR="00A326AA" w:rsidRDefault="004E07A7">
      <w:pPr>
        <w:pStyle w:val="Bibliography"/>
      </w:pPr>
      <w:r>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2">
        <w:r>
          <w:rPr>
            <w:rStyle w:val="Hyperlink"/>
          </w:rPr>
          <w:t>https://doi.org/fkd3dj</w:t>
        </w:r>
      </w:hyperlink>
    </w:p>
    <w:p w14:paraId="66C69C11" w14:textId="77777777" w:rsidR="00A326AA" w:rsidRDefault="004E07A7">
      <w:pPr>
        <w:pStyle w:val="Bibliography"/>
      </w:pPr>
      <w:bookmarkStart w:id="2" w:name="X2a51851523adb7638c7c7c3103789cb3b2c6b6d"/>
      <w:bookmarkEnd w:id="0"/>
      <w:r>
        <w:t xml:space="preserve">Forcella, F. (2003). Debiting the seedbank: Priorities and predictions. </w:t>
      </w:r>
      <w:r>
        <w:rPr>
          <w:i/>
          <w:iCs/>
        </w:rPr>
        <w:t>Aspects of Applied Biology</w:t>
      </w:r>
      <w:r>
        <w:t xml:space="preserve">, </w:t>
      </w:r>
      <w:r>
        <w:rPr>
          <w:i/>
          <w:iCs/>
        </w:rPr>
        <w:t>69</w:t>
      </w:r>
      <w:r>
        <w:t>, 151–162.</w:t>
      </w:r>
    </w:p>
    <w:p w14:paraId="6C5E2A37" w14:textId="77777777" w:rsidR="00A326AA" w:rsidRDefault="004E07A7">
      <w:pPr>
        <w:pStyle w:val="Bibliography"/>
      </w:pPr>
      <w:bookmarkStart w:id="3" w:name="ref-forcellaWeedSeedbanksCorn1992"/>
      <w:bookmarkEnd w:id="2"/>
      <w:r>
        <w:t xml:space="preserve">Forcella, F., Wilson, R. G., Renner, K. A., Dekker, J., Harvey, R. G., Alm, D. A., Buhler, D. D., and Cardina, J. (1992). Weed seedbanks of the U.S. Corn Belt: Magnitude, variation, emergence, and application. </w:t>
      </w:r>
      <w:r>
        <w:rPr>
          <w:i/>
          <w:iCs/>
        </w:rPr>
        <w:t>Weed Science</w:t>
      </w:r>
      <w:r>
        <w:t xml:space="preserve">, </w:t>
      </w:r>
      <w:r>
        <w:rPr>
          <w:i/>
          <w:iCs/>
        </w:rPr>
        <w:t>40</w:t>
      </w:r>
      <w:r>
        <w:t>(4), 636–644.</w:t>
      </w:r>
    </w:p>
    <w:p w14:paraId="73866B5A" w14:textId="77777777" w:rsidR="00A326AA" w:rsidRDefault="004E07A7">
      <w:pPr>
        <w:pStyle w:val="Bibliography"/>
      </w:pPr>
      <w:bookmarkStart w:id="4" w:name="ref-friedTrajectoriesWeedCommunities2012"/>
      <w:bookmarkEnd w:id="3"/>
      <w:r>
        <w:t xml:space="preserve">Fried, G., Kazakou, E., and Gaba, S. (2012). Trajectories of weed communities explained by traits associated with species’ response to management practices. </w:t>
      </w:r>
      <w:r>
        <w:rPr>
          <w:i/>
          <w:iCs/>
        </w:rPr>
        <w:t>Agriculture, Ecosystems &amp; Environment</w:t>
      </w:r>
      <w:r>
        <w:t xml:space="preserve">, </w:t>
      </w:r>
      <w:r>
        <w:rPr>
          <w:i/>
          <w:iCs/>
        </w:rPr>
        <w:t>158</w:t>
      </w:r>
      <w:r>
        <w:t xml:space="preserve">, 147–155. </w:t>
      </w:r>
      <w:hyperlink r:id="rId13">
        <w:r>
          <w:rPr>
            <w:rStyle w:val="Hyperlink"/>
          </w:rPr>
          <w:t>https://doi.org/f36znx</w:t>
        </w:r>
      </w:hyperlink>
    </w:p>
    <w:p w14:paraId="06D140C7" w14:textId="77777777" w:rsidR="00A326AA" w:rsidRDefault="004E07A7">
      <w:pPr>
        <w:pStyle w:val="Bibliography"/>
      </w:pPr>
      <w:bookmarkStart w:id="5" w:name="ref-liebmanWeedSeedbankDiversity2021"/>
      <w:bookmarkEnd w:id="4"/>
      <w:r>
        <w:t xml:space="preserve">Liebman, M., Nguyen, H. T. X., Woods, M. M., Hunt, N. D., and Hill, J. D. (2021). Weed seedbank diversity and sustainability indicators for simple and more diverse cropping systems. </w:t>
      </w:r>
      <w:r>
        <w:rPr>
          <w:i/>
          <w:iCs/>
        </w:rPr>
        <w:t>Weed Res</w:t>
      </w:r>
      <w:r>
        <w:t xml:space="preserve">, </w:t>
      </w:r>
      <w:r>
        <w:rPr>
          <w:i/>
          <w:iCs/>
        </w:rPr>
        <w:t>61</w:t>
      </w:r>
      <w:r>
        <w:t xml:space="preserve">(3), 164–177. </w:t>
      </w:r>
      <w:hyperlink r:id="rId14">
        <w:r>
          <w:rPr>
            <w:rStyle w:val="Hyperlink"/>
          </w:rPr>
          <w:t>https://doi.org/ghz5bj</w:t>
        </w:r>
      </w:hyperlink>
    </w:p>
    <w:p w14:paraId="24AEC71F" w14:textId="77777777" w:rsidR="00A326AA" w:rsidRDefault="004E07A7">
      <w:pPr>
        <w:pStyle w:val="Bibliography"/>
      </w:pPr>
      <w:bookmarkStart w:id="6" w:name="ref-menalledWeedAbovegroundSeedbank2001"/>
      <w:bookmarkEnd w:id="5"/>
      <w:r>
        <w:t xml:space="preserve">Menalled, F. D., Gross, K. L., and Hammond, M. (2001). Weed aboveground and seedbank community responses to agricultural management systems. </w:t>
      </w:r>
      <w:r>
        <w:rPr>
          <w:i/>
          <w:iCs/>
        </w:rPr>
        <w:t>Ecological Applications</w:t>
      </w:r>
      <w:r>
        <w:t xml:space="preserve">, </w:t>
      </w:r>
      <w:r>
        <w:rPr>
          <w:i/>
          <w:iCs/>
        </w:rPr>
        <w:t>11</w:t>
      </w:r>
      <w:r>
        <w:t xml:space="preserve">(6), 1586–1601. </w:t>
      </w:r>
      <w:hyperlink r:id="rId15">
        <w:r>
          <w:rPr>
            <w:rStyle w:val="Hyperlink"/>
          </w:rPr>
          <w:t>https://doi.org/dpj63j</w:t>
        </w:r>
      </w:hyperlink>
    </w:p>
    <w:p w14:paraId="6019A5E9" w14:textId="77777777" w:rsidR="00A326AA" w:rsidRDefault="004E07A7">
      <w:pPr>
        <w:pStyle w:val="Bibliography"/>
      </w:pPr>
      <w:bookmarkStart w:id="7" w:name="ref-ryanManagementFiltersSpecies2010"/>
      <w:bookmarkEnd w:id="6"/>
      <w:r>
        <w:t xml:space="preserve">Ryan, M. R., Smith, R. G., Mirsky, S. B., Mortensen, D. A., and Seidel, R. (2010). Management filters and species traits: Weed community assembly in long-term organic and conventional systems. </w:t>
      </w:r>
      <w:r>
        <w:rPr>
          <w:i/>
          <w:iCs/>
        </w:rPr>
        <w:t>Weed Science</w:t>
      </w:r>
      <w:r>
        <w:t xml:space="preserve">, </w:t>
      </w:r>
      <w:r>
        <w:rPr>
          <w:i/>
          <w:iCs/>
        </w:rPr>
        <w:t>58</w:t>
      </w:r>
      <w:r>
        <w:t xml:space="preserve">(3), 265–277. </w:t>
      </w:r>
      <w:hyperlink r:id="rId16">
        <w:r>
          <w:rPr>
            <w:rStyle w:val="Hyperlink"/>
          </w:rPr>
          <w:t>https://doi.org/cxhk78</w:t>
        </w:r>
      </w:hyperlink>
    </w:p>
    <w:p w14:paraId="52FEB795" w14:textId="77777777" w:rsidR="00A326AA" w:rsidRDefault="004E07A7">
      <w:pPr>
        <w:pStyle w:val="Bibliography"/>
      </w:pPr>
      <w:bookmarkStart w:id="8" w:name="ref-storkeyWhatGoodWeed2018"/>
      <w:bookmarkEnd w:id="7"/>
      <w:r>
        <w:t xml:space="preserve">Storkey, J., and Neve, P. (2018). What good is weed diversity? </w:t>
      </w:r>
      <w:r>
        <w:rPr>
          <w:i/>
          <w:iCs/>
        </w:rPr>
        <w:t>Weed Res</w:t>
      </w:r>
      <w:r>
        <w:t xml:space="preserve">, </w:t>
      </w:r>
      <w:r>
        <w:rPr>
          <w:i/>
          <w:iCs/>
        </w:rPr>
        <w:t>58</w:t>
      </w:r>
      <w:r>
        <w:t xml:space="preserve">(4), 239–243. </w:t>
      </w:r>
      <w:hyperlink r:id="rId17">
        <w:r>
          <w:rPr>
            <w:rStyle w:val="Hyperlink"/>
          </w:rPr>
          <w:t>https://doi.org/gdwv5r</w:t>
        </w:r>
      </w:hyperlink>
      <w:bookmarkEnd w:id="1"/>
      <w:bookmarkEnd w:id="8"/>
    </w:p>
    <w:sectPr w:rsidR="00A326AA" w:rsidSect="00DB2F9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6E773" w14:textId="77777777" w:rsidR="002123BB" w:rsidRDefault="002123BB">
      <w:pPr>
        <w:spacing w:after="0"/>
      </w:pPr>
      <w:r>
        <w:separator/>
      </w:r>
    </w:p>
  </w:endnote>
  <w:endnote w:type="continuationSeparator" w:id="0">
    <w:p w14:paraId="1D7093D2" w14:textId="77777777" w:rsidR="002123BB" w:rsidRDefault="002123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E3439" w14:textId="77777777" w:rsidR="002123BB" w:rsidRDefault="002123BB">
      <w:r>
        <w:separator/>
      </w:r>
    </w:p>
  </w:footnote>
  <w:footnote w:type="continuationSeparator" w:id="0">
    <w:p w14:paraId="2BA60D40" w14:textId="77777777" w:rsidR="002123BB" w:rsidRDefault="00212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8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A"/>
    <w:rsid w:val="00065721"/>
    <w:rsid w:val="002123BB"/>
    <w:rsid w:val="00395635"/>
    <w:rsid w:val="004E07A7"/>
    <w:rsid w:val="008C21EE"/>
    <w:rsid w:val="0093079E"/>
    <w:rsid w:val="009A7E1A"/>
    <w:rsid w:val="00A326AA"/>
    <w:rsid w:val="00B77A94"/>
    <w:rsid w:val="00D27E70"/>
    <w:rsid w:val="00DB2F9B"/>
    <w:rsid w:val="00DC1CD0"/>
    <w:rsid w:val="00EE6A9A"/>
    <w:rsid w:val="00F00A54"/>
    <w:rsid w:val="00F47BE2"/>
    <w:rsid w:val="00FD5A50"/>
    <w:rsid w:val="00FF5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568"/>
  <w15:docId w15:val="{A200D4B6-ACE1-BA42-8E93-0192258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EE6A9A"/>
    <w:pPr>
      <w:spacing w:after="0"/>
    </w:pPr>
  </w:style>
  <w:style w:type="character" w:styleId="CommentReference">
    <w:name w:val="annotation reference"/>
    <w:basedOn w:val="DefaultParagraphFont"/>
    <w:semiHidden/>
    <w:unhideWhenUsed/>
    <w:rsid w:val="00FF58A0"/>
    <w:rPr>
      <w:sz w:val="16"/>
      <w:szCs w:val="16"/>
    </w:rPr>
  </w:style>
  <w:style w:type="paragraph" w:styleId="CommentText">
    <w:name w:val="annotation text"/>
    <w:basedOn w:val="Normal"/>
    <w:link w:val="CommentTextChar"/>
    <w:semiHidden/>
    <w:unhideWhenUsed/>
    <w:rsid w:val="00FF58A0"/>
    <w:rPr>
      <w:sz w:val="20"/>
      <w:szCs w:val="20"/>
    </w:rPr>
  </w:style>
  <w:style w:type="character" w:customStyle="1" w:styleId="CommentTextChar">
    <w:name w:val="Comment Text Char"/>
    <w:basedOn w:val="DefaultParagraphFont"/>
    <w:link w:val="CommentText"/>
    <w:semiHidden/>
    <w:rsid w:val="00FF58A0"/>
    <w:rPr>
      <w:sz w:val="20"/>
      <w:szCs w:val="20"/>
    </w:rPr>
  </w:style>
  <w:style w:type="paragraph" w:styleId="CommentSubject">
    <w:name w:val="annotation subject"/>
    <w:basedOn w:val="CommentText"/>
    <w:next w:val="CommentText"/>
    <w:link w:val="CommentSubjectChar"/>
    <w:semiHidden/>
    <w:unhideWhenUsed/>
    <w:rsid w:val="00FF58A0"/>
    <w:rPr>
      <w:b/>
      <w:bCs/>
    </w:rPr>
  </w:style>
  <w:style w:type="character" w:customStyle="1" w:styleId="CommentSubjectChar">
    <w:name w:val="Comment Subject Char"/>
    <w:basedOn w:val="CommentTextChar"/>
    <w:link w:val="CommentSubject"/>
    <w:semiHidden/>
    <w:rsid w:val="00FF5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92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i.org/f36zn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fkd3dj" TargetMode="External"/><Relationship Id="rId17" Type="http://schemas.openxmlformats.org/officeDocument/2006/relationships/hyperlink" Target="https://doi.org/gdwv5r" TargetMode="External"/><Relationship Id="rId2" Type="http://schemas.openxmlformats.org/officeDocument/2006/relationships/styles" Target="styles.xml"/><Relationship Id="rId16" Type="http://schemas.openxmlformats.org/officeDocument/2006/relationships/hyperlink" Target="https://doi.org/cxhk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281/zenodo.5980943" TargetMode="External"/><Relationship Id="rId5" Type="http://schemas.openxmlformats.org/officeDocument/2006/relationships/footnotes" Target="footnotes.xml"/><Relationship Id="rId15" Type="http://schemas.openxmlformats.org/officeDocument/2006/relationships/hyperlink" Target="https://doi.org/dpj63j" TargetMode="External"/><Relationship Id="rId10" Type="http://schemas.openxmlformats.org/officeDocument/2006/relationships/hyperlink" Target="https://doi.org/10.25380/iastate.1911137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ontiersin.org/articles/10.3389/fagro.2022.848548" TargetMode="External"/><Relationship Id="rId14" Type="http://schemas.openxmlformats.org/officeDocument/2006/relationships/hyperlink" Target="https://doi.org/ghz5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F1C7C-76EE-7F42-A7B4-8B25B387FEA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Huong T [AGRON]</dc:creator>
  <cp:keywords/>
  <cp:lastModifiedBy>Nguyen, Huong T [AGRON]</cp:lastModifiedBy>
  <cp:revision>2</cp:revision>
  <dcterms:created xsi:type="dcterms:W3CDTF">2022-02-17T23:20:00Z</dcterms:created>
  <dcterms:modified xsi:type="dcterms:W3CDTF">2022-02-17T23:20:00Z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ecol.bib</vt:lpwstr>
  </property>
  <property fmtid="{D5CDD505-2E9C-101B-9397-08002B2CF9AE}" pid="3" name="csl">
    <vt:lpwstr>apa-no-ampersand.csl</vt:lpwstr>
  </property>
  <property fmtid="{D5CDD505-2E9C-101B-9397-08002B2CF9AE}" pid="4" name="output">
    <vt:lpwstr/>
  </property>
  <property fmtid="{D5CDD505-2E9C-101B-9397-08002B2CF9AE}" pid="5" name="grammarly_documentId">
    <vt:lpwstr>documentId_659</vt:lpwstr>
  </property>
  <property fmtid="{D5CDD505-2E9C-101B-9397-08002B2CF9AE}" pid="6" name="grammarly_documentContext">
    <vt:lpwstr>{"goals":[],"domain":"general","emotions":[],"dialect":"american"}</vt:lpwstr>
  </property>
</Properties>
</file>