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seed column before post-harvest tillage was transitioned from post-harvest tillage through spring tillage with the general form of</w:t>
      </w:r>
      <w:r>
        <w:t xml:space="preserve"> </w:t>
      </w:r>
      <m:oMath>
        <m:sSub>
          <m:e>
            <m:r>
              <m:t>A</m:t>
            </m:r>
          </m:e>
          <m:sub>
            <m:r>
              <m:t>h</m:t>
            </m:r>
            <m:r>
              <m:rPr>
                <m:sty m:val="p"/>
              </m:rPr>
              <m:t>+</m:t>
            </m:r>
            <m:r>
              <m:t>1</m:t>
            </m:r>
          </m:sub>
        </m:sSub>
        <m:r>
          <m:rPr>
            <m:sty m:val="p"/>
          </m:rPr>
          <m:t>=</m:t>
        </m:r>
        <m:sSub>
          <m:e>
            <m:r>
              <m:t>A</m:t>
            </m:r>
          </m:e>
          <m:sub>
            <m:r>
              <m:t>h</m:t>
            </m:r>
          </m:sub>
        </m:sSub>
        <m:sSub>
          <m:e>
            <m:r>
              <m:t>N</m:t>
            </m:r>
          </m:e>
          <m:sub>
            <m:r>
              <m:t>h</m:t>
            </m:r>
          </m:sub>
        </m:sSub>
      </m:oMath>
      <w:r>
        <w:t xml:space="preserve"> </w:t>
      </w:r>
      <w:r>
        <w:t xml:space="preserve">by</w:t>
      </w:r>
      <w:r>
        <w:t xml:space="preserve"> </w:t>
      </w:r>
      <w:r>
        <w:t xml:space="preserve">Caswell (2001)</w:t>
      </w:r>
      <w:r>
        <w:t xml:space="preserve">.</w:t>
      </w:r>
    </w:p>
    <w:p>
      <w:pPr>
        <w:pStyle w:val="SourceCode"/>
      </w:pPr>
      <w:r>
        <w:rPr>
          <w:rStyle w:val="DocumentationTok"/>
        </w:rPr>
        <w:t xml:space="preserve">### Write the top stratum of the newly shuffled seed columns (from fall tillage through spring tillage) into a dummy matrix</w:t>
      </w:r>
      <w:r>
        <w:br/>
      </w:r>
      <w:r>
        <w:rPr>
          <w:rStyle w:val="CommentTok"/>
        </w:rPr>
        <w:t xml:space="preserve"># https://community.rstudio.com/t/extract-matrix-rows-from-list/19357/2</w:t>
      </w:r>
      <w:r>
        <w:br/>
      </w:r>
      <w:r>
        <w:rPr>
          <w:rStyle w:val="CommentTok"/>
        </w:rPr>
        <w:t xml:space="preserve">#https://stackoverflow.com/questions/29511215/convert-row-names-into-first-column</w:t>
      </w:r>
      <w:r>
        <w:br/>
      </w:r>
      <w:r>
        <w:br/>
      </w:r>
      <w:r>
        <w:rPr>
          <w:rStyle w:val="NormalTok"/>
        </w:rPr>
        <w:t xml:space="preserve">mean_after_spring_tillage_pop_scenario1_top_stratum_df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top_stratum_density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top_stratum_female_density =</w:t>
      </w:r>
      <w:r>
        <w:rPr>
          <w:rStyle w:val="NormalTok"/>
        </w:rPr>
        <w:t xml:space="preserve"> top_stratum_density</w:t>
      </w:r>
      <w:r>
        <w:rPr>
          <w:rStyle w:val="SpecialCharTok"/>
        </w:rPr>
        <w:t xml:space="preserve">/</w:t>
      </w:r>
      <w:r>
        <w:rPr>
          <w:rStyle w:val="DecValTok"/>
        </w:rPr>
        <w:t xml:space="preserve">2</w:t>
      </w:r>
      <w:r>
        <w:rPr>
          <w:rStyle w:val="NormalTok"/>
        </w:rPr>
        <w:t xml:space="preserve">) </w:t>
      </w:r>
      <w:r>
        <w:rPr>
          <w:rStyle w:val="CommentTok"/>
        </w:rPr>
        <w:t xml:space="preserve">#assume 1:1 male:female</w:t>
      </w:r>
      <w:r>
        <w:br/>
      </w:r>
      <w:r>
        <w:br/>
      </w:r>
      <w:r>
        <w:br/>
      </w:r>
      <w:r>
        <w:rPr>
          <w:rStyle w:val="CommentTok"/>
        </w:rPr>
        <w:t xml:space="preserve">#mean_after_spring_tillage_pop_scenario1_dummy &lt;-  lapply(split(mean_after_spring_tillage_pop_scenario1_df, mean_after_spring_tillage_pop_scenario1_df$matrix_id),</w:t>
      </w:r>
      <w:r>
        <w:br/>
      </w:r>
      <w:r>
        <w:rPr>
          <w:rStyle w:val="CommentTok"/>
        </w:rPr>
        <w:t xml:space="preserve">#       function(x)(matrix(x$top_stratum_density, nrow = 6)))</w:t>
      </w:r>
      <w:r>
        <w:br/>
      </w:r>
      <w:r>
        <w:br/>
      </w:r>
      <w:r>
        <w:rPr>
          <w:rStyle w:val="NormalTok"/>
        </w:rPr>
        <w:t xml:space="preserve">mean_after_spring_tillage_pop_scenario1_bottom_stratum_df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bottom_stratum_density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bottom_stratum_female_density =</w:t>
      </w:r>
      <w:r>
        <w:rPr>
          <w:rStyle w:val="NormalTok"/>
        </w:rPr>
        <w:t xml:space="preserve"> bottom_stratum_density</w:t>
      </w:r>
      <w:r>
        <w:rPr>
          <w:rStyle w:val="SpecialCharTok"/>
        </w:rPr>
        <w:t xml:space="preserve">/</w:t>
      </w:r>
      <w:r>
        <w:rPr>
          <w:rStyle w:val="DecValTok"/>
        </w:rPr>
        <w:t xml:space="preserve">2</w:t>
      </w:r>
      <w:r>
        <w:rPr>
          <w:rStyle w:val="NormalTok"/>
        </w:rPr>
        <w:t xml:space="preserve">)</w:t>
      </w:r>
    </w:p>
    <w:p>
      <w:pPr>
        <w:pStyle w:val="FirstParagraph"/>
      </w:pPr>
      <w:r>
        <w:rPr>
          <w:bCs/>
          <w:b/>
        </w:rPr>
        <w:t xml:space="preserve">include in the matrix assembly section</w:t>
      </w:r>
      <w:r>
        <w:t xml:space="preserve"> </w:t>
      </w:r>
      <w:r>
        <w:t xml:space="preserve">In a soil seedbank of 5 cm deep that was undisturbed mechanically in the first burial year and unexposed to herbicides throughout the experiment,</w:t>
      </w:r>
      <w:r>
        <w:t xml:space="preserve"> </w:t>
      </w:r>
      <w:r>
        <w:t xml:space="preserve">5% of the waterhemp seedlings emerged a year after seed burial</w:t>
      </w:r>
      <w:r>
        <w:t xml:space="preserve"> </w:t>
      </w:r>
      <w:r>
        <w:t xml:space="preserve">(Buhler and Hartzler 2001)</w:t>
      </w:r>
      <w:r>
        <w:t xml:space="preserve">. Annually, 23.5% +/- 16.6% sd of waterhemp seeds that were not treated with herbicides and undisturbed mechanically emerged from the top 1 cm soil layer</w:t>
      </w:r>
      <w:r>
        <w:t xml:space="preserve"> </w:t>
      </w:r>
      <w:r>
        <w:t xml:space="preserve">(Schutte and Davis 2014)</w:t>
      </w:r>
      <w:r>
        <w:t xml:space="preserve">. Mesotrione applied at 75 g ha</w:t>
      </w:r>
      <m:oMath>
        <m:sSup>
          <m:e>
            <m:r>
              <m:t>​</m:t>
            </m:r>
          </m:e>
          <m:sup>
            <m:r>
              <m:rPr>
                <m:sty m:val="p"/>
              </m:rPr>
              <m:t>−</m:t>
            </m:r>
          </m:sup>
        </m:sSup>
        <m:r>
          <m:t>1</m:t>
        </m:r>
      </m:oMath>
      <w:r>
        <w:t xml:space="preserve"> </w:t>
      </w:r>
      <w:r>
        <w:t xml:space="preserve">rate was 76% and 96% efficacious against</w:t>
      </w:r>
      <w:r>
        <w:t xml:space="preserve"> </w:t>
      </w:r>
      <w:r>
        <w:rPr>
          <w:iCs/>
          <w:i/>
        </w:rPr>
        <w:t xml:space="preserve">A retroflexus</w:t>
      </w:r>
      <w:r>
        <w:t xml:space="preserve"> </w:t>
      </w:r>
      <w:r>
        <w:t xml:space="preserve">L grown in corn that were susceptible and resistant to atrazine, respectively</w:t>
      </w:r>
      <w:r>
        <w:t xml:space="preserve"> </w:t>
      </w:r>
      <w:r>
        <w:t xml:space="preserve">(Sutton et al. 2002)</w:t>
      </w:r>
      <w:r>
        <w:t xml:space="preserve">. The Thiencarbazone-methyl + isoxaflutole mixture was 93.5% efficacious and mesotrione was 70.75% efficacious against</w:t>
      </w:r>
      <w:r>
        <w:t xml:space="preserve"> </w:t>
      </w:r>
      <w:r>
        <w:rPr>
          <w:iCs/>
          <w:i/>
        </w:rPr>
        <w:t xml:space="preserve">A. palmeri</w:t>
      </w:r>
      <w:r>
        <w:t xml:space="preserve"> </w:t>
      </w:r>
      <w:r>
        <w:t xml:space="preserve">grown in corn</w:t>
      </w:r>
      <w:r>
        <w:t xml:space="preserve"> </w:t>
      </w:r>
      <w:r>
        <w:t xml:space="preserve">(Janak and Grichar 2016)</w:t>
      </w:r>
      <w:r>
        <w:t xml:space="preserve">. Waterhemp control in soybean treated with pre-emergence, post-emergence, or sequential pre- and post-emergence herbicides</w:t>
      </w:r>
      <w:r>
        <w:t xml:space="preserve"> </w:t>
      </w:r>
      <w:r>
        <w:t xml:space="preserve">(Jhala et al. 2017; Hay, Shoup, and Peterson 2019; Ferrier et al. 2022a, 2022b)</w:t>
      </w:r>
      <w:r>
        <w:t xml:space="preserve"> </w:t>
      </w:r>
      <w:r>
        <w:t xml:space="preserve">was studied but no information on seedling emergence as a proportion of the seedbank is available.</w:t>
      </w:r>
    </w:p>
    <w:p>
      <w:pPr>
        <w:pStyle w:val="BodyText"/>
      </w:pPr>
      <w:r>
        <w:t xml:space="preserve">The resistance profile of waterhemp at our experiment site was undetermined, but the raw estimation of seedling emergence proportion with respect to the top 0 - 2 cm soil seedbank density seems unrealistically low (Table</w:t>
      </w:r>
      <w:r>
        <w:t xml:space="preserve"> </w:t>
      </w:r>
      <w:r>
        <w:t xml:space="preserve">1</w:t>
      </w:r>
      <w:r>
        <w:t xml:space="preserve">. We combined the findings on other</w:t>
      </w:r>
      <w:r>
        <w:t xml:space="preserve"> </w:t>
      </w:r>
      <w:r>
        <w:rPr>
          <w:iCs/>
          <w:i/>
        </w:rPr>
        <w:t xml:space="preserve">Amaranthus</w:t>
      </w:r>
      <w:r>
        <w:t xml:space="preserve"> </w:t>
      </w:r>
      <w:r>
        <w:t xml:space="preserve">species from</w:t>
      </w:r>
      <w:r>
        <w:t xml:space="preserve"> </w:t>
      </w:r>
      <w:r>
        <w:t xml:space="preserve">Sutton et al. (2002)</w:t>
      </w:r>
      <w:r>
        <w:t xml:space="preserve">;</w:t>
      </w:r>
      <w:r>
        <w:t xml:space="preserve"> </w:t>
      </w:r>
      <w:r>
        <w:t xml:space="preserve">Janak and Grichar (2016)</w:t>
      </w:r>
      <w:r>
        <w:t xml:space="preserve"> </w:t>
      </w:r>
      <w:r>
        <w:t xml:space="preserve">for herbicide efficacy and from</w:t>
      </w:r>
      <w:r>
        <w:t xml:space="preserve"> </w:t>
      </w:r>
      <w:r>
        <w:t xml:space="preserve">Buhler and Hartzler (2001)</w:t>
      </w:r>
      <w:r>
        <w:t xml:space="preserve"> </w:t>
      </w:r>
      <w:r>
        <w:t xml:space="preserve">and</w:t>
      </w:r>
      <w:r>
        <w:t xml:space="preserve"> </w:t>
      </w:r>
      <w:r>
        <w:t xml:space="preserve">Schutte and Davis (2014)</w:t>
      </w:r>
      <w:r>
        <w:t xml:space="preserve"> </w:t>
      </w:r>
      <w:r>
        <w:t xml:space="preserve">for herbicide-unexposed germinants to assign emergence rates based on the crop-specific weed management (Table</w:t>
      </w:r>
      <w:r>
        <w:t xml:space="preserve"> </w:t>
      </w:r>
      <w:r>
        <w:t xml:space="preserve">1</w:t>
      </w:r>
      <w:r>
        <w:t xml:space="preserve">).</w:t>
      </w:r>
    </w:p>
    <w:p>
      <w:pPr>
        <w:pStyle w:val="BodyText"/>
      </w:pPr>
      <w:r>
        <w:t xml:space="preserve">The same emergence successful rate was assumed the same in corn and soybean for the lack of available data in the soybean crop environment. The emergence successful rates in the oat/red clover intercrop, oat/alfalfa intercrop, and alfalfa sole crop were set at 50% of all germinated seeds to reflect a weaker potency of allelochemicals versus pre-emergence herbicides. With a uniform germination rate at 20% in all the crop identity crossed with corn weed management, the remaining seedbank density in the 0 - 2 cm soil stratum is calculated using the following equation:</w:t>
      </w:r>
    </w:p>
    <w:p>
      <w:pPr>
        <w:pStyle w:val="BodyText"/>
      </w:pPr>
      <m:oMathPara>
        <m:oMathParaPr>
          <m:jc m:val="center"/>
        </m:oMathParaPr>
        <m:oMath>
          <m:sSub>
            <m:e>
              <m:r>
                <m:t>N</m:t>
              </m:r>
            </m:e>
            <m:sub>
              <m:sSub>
                <m:e>
                  <m:r>
                    <m:t>B</m:t>
                  </m:r>
                </m:e>
                <m:sub>
                  <m:r>
                    <m:t>e</m:t>
                  </m:r>
                  <m:r>
                    <m:rPr>
                      <m:sty m:val="p"/>
                    </m:rPr>
                    <m:t>,</m:t>
                  </m:r>
                  <m:r>
                    <m:t>11</m:t>
                  </m:r>
                </m:sub>
              </m:sSub>
            </m:sub>
          </m:sSub>
          <m:r>
            <m:rPr>
              <m:sty m:val="p"/>
            </m:rPr>
            <m:t>=</m:t>
          </m:r>
          <m:d>
            <m:dPr>
              <m:begChr m:val="("/>
              <m:endChr m:val=")"/>
              <m:sepChr m:val=""/>
              <m:grow/>
            </m:dPr>
            <m:e>
              <m:r>
                <m:t>1</m:t>
              </m:r>
              <m:r>
                <m:rPr>
                  <m:sty m:val="p"/>
                </m:rPr>
                <m:t>−</m:t>
              </m:r>
              <m:r>
                <m:t>G</m:t>
              </m:r>
            </m:e>
          </m:d>
          <m:r>
            <m:rPr>
              <m:sty m:val="p"/>
            </m:rPr>
            <m:t>*</m:t>
          </m:r>
          <m:sSub>
            <m:e>
              <m:r>
                <m:t>N</m:t>
              </m:r>
            </m:e>
            <m:sub>
              <m:sSub>
                <m:e>
                  <m:r>
                    <m:t>B</m:t>
                  </m:r>
                </m:e>
                <m:sub>
                  <m:r>
                    <m:t>s</m:t>
                  </m:r>
                  <m:r>
                    <m:t>t</m:t>
                  </m:r>
                  <m:r>
                    <m:rPr>
                      <m:sty m:val="p"/>
                    </m:rPr>
                    <m:t>,</m:t>
                  </m:r>
                  <m:r>
                    <m:t>11</m:t>
                  </m:r>
                </m:sub>
              </m:sSub>
            </m:sub>
          </m:sSub>
          <m:r>
            <m:rPr>
              <m:sty m:val="p"/>
            </m:rPr>
            <m:t>=</m:t>
          </m:r>
          <m:d>
            <m:dPr>
              <m:begChr m:val="("/>
              <m:endChr m:val=")"/>
              <m:sepChr m:val=""/>
              <m:grow/>
            </m:dPr>
            <m:e>
              <m:r>
                <m:t>1</m:t>
              </m:r>
              <m:r>
                <m:rPr>
                  <m:sty m:val="p"/>
                </m:rPr>
                <m:t>−</m:t>
              </m:r>
              <m:d>
                <m:dPr>
                  <m:begChr m:val="("/>
                  <m:endChr m:val=")"/>
                  <m:sepChr m:val=""/>
                  <m:grow/>
                </m:dPr>
                <m:e>
                  <m:r>
                    <m:t>E</m:t>
                  </m:r>
                  <m:r>
                    <m:rPr>
                      <m:sty m:val="p"/>
                    </m:rPr>
                    <m:t>+</m:t>
                  </m:r>
                  <m:r>
                    <m:t>D</m:t>
                  </m:r>
                </m:e>
              </m:d>
            </m:e>
          </m:d>
          <m:r>
            <m:rPr>
              <m:sty m:val="p"/>
            </m:rPr>
            <m:t>*</m:t>
          </m:r>
          <m:sSub>
            <m:e>
              <m:r>
                <m:t>N</m:t>
              </m:r>
            </m:e>
            <m:sub>
              <m:sSub>
                <m:e>
                  <m:r>
                    <m:t>B</m:t>
                  </m:r>
                </m:e>
                <m:sub>
                  <m:r>
                    <m:t>s</m:t>
                  </m:r>
                  <m:r>
                    <m:t>t</m:t>
                  </m:r>
                  <m:r>
                    <m:rPr>
                      <m:sty m:val="p"/>
                    </m:rPr>
                    <m:t>,</m:t>
                  </m:r>
                  <m:r>
                    <m:t>11</m:t>
                  </m:r>
                </m:sub>
              </m:sSub>
            </m:sub>
          </m:sSub>
        </m:oMath>
      </m:oMathPara>
    </w:p>
    <w:p>
      <w:pPr>
        <w:pStyle w:val="FirstParagraph"/>
      </w:pPr>
      <w:r>
        <w:t xml:space="preserve">where,</w:t>
      </w:r>
      <w:r>
        <w:br/>
      </w:r>
      <m:oMath>
        <m:sSub>
          <m:e>
            <m:r>
              <m:t>N</m:t>
            </m:r>
          </m:e>
          <m:sub>
            <m:sSub>
              <m:e>
                <m:r>
                  <m:t>B</m:t>
                </m:r>
              </m:e>
              <m:sub>
                <m:r>
                  <m:t>e</m:t>
                </m:r>
                <m:r>
                  <m:rPr>
                    <m:sty m:val="p"/>
                  </m:rPr>
                  <m:t>,</m:t>
                </m:r>
                <m:r>
                  <m:t>11</m:t>
                </m:r>
              </m:sub>
            </m:sSub>
          </m:sub>
        </m:sSub>
      </m:oMath>
      <w:r>
        <w:t xml:space="preserve"> </w:t>
      </w:r>
      <w:r>
        <w:t xml:space="preserve">is the remaining seedbank density after seed germination</w:t>
      </w:r>
      <w:r>
        <w:t xml:space="preserve"> </w:t>
      </w:r>
      <m:oMath>
        <m:sSub>
          <m:e>
            <m:r>
              <m:t>N</m:t>
            </m:r>
          </m:e>
          <m:sub>
            <m:sSub>
              <m:e>
                <m:r>
                  <m:t>B</m:t>
                </m:r>
              </m:e>
              <m:sub>
                <m:r>
                  <m:t>s</m:t>
                </m:r>
                <m:r>
                  <m:t>t</m:t>
                </m:r>
                <m:r>
                  <m:rPr>
                    <m:sty m:val="p"/>
                  </m:rPr>
                  <m:t>,</m:t>
                </m:r>
                <m:r>
                  <m:t>11</m:t>
                </m:r>
              </m:sub>
            </m:sSub>
          </m:sub>
        </m:sSub>
      </m:oMath>
      <w:r>
        <w:t xml:space="preserve"> </w:t>
      </w:r>
      <w:r>
        <w:t xml:space="preserve">is the seed density in the top 0 - 2 cm soil stratum upon completion of pre-planting tillage</w:t>
      </w:r>
      <w:r>
        <w:t xml:space="preserve"> </w:t>
      </w:r>
      <m:oMath>
        <m:r>
          <m:t>G</m:t>
        </m:r>
      </m:oMath>
      <w:r>
        <w:t xml:space="preserve"> </w:t>
      </w:r>
      <w:r>
        <w:t xml:space="preserve">is the proportion of germinated seeds</w:t>
      </w:r>
      <w:r>
        <w:t xml:space="preserve"> </w:t>
      </w:r>
      <m:oMath>
        <m:r>
          <m:t>E</m:t>
        </m:r>
      </m:oMath>
      <w:r>
        <w:t xml:space="preserve"> </w:t>
      </w:r>
      <w:r>
        <w:t xml:space="preserve">is the proportion of germinated seeds that successfully emerge as seedlings</w:t>
      </w:r>
      <w:r>
        <w:t xml:space="preserve"> </w:t>
      </w:r>
      <m:oMath>
        <m:r>
          <m:t>D</m:t>
        </m:r>
      </m:oMath>
      <w:r>
        <w:t xml:space="preserve"> </w:t>
      </w:r>
      <w:r>
        <w:t xml:space="preserve">is the proportion of germinated seeds that were killed by weed control measures</w:t>
      </w:r>
    </w:p>
    <w:p>
      <w:pPr>
        <w:pStyle w:val="BodyText"/>
      </w:pPr>
      <m:oMath>
        <m:r>
          <m:t>1</m:t>
        </m:r>
        <m:r>
          <m:rPr>
            <m:sty m:val="p"/>
          </m:rPr>
          <m:t>−</m:t>
        </m:r>
        <m:r>
          <m:t>G</m:t>
        </m:r>
        <m:r>
          <m:rPr>
            <m:sty m:val="p"/>
          </m:rPr>
          <m:t>=</m:t>
        </m:r>
        <m:r>
          <m:t>0.8</m:t>
        </m:r>
      </m:oMath>
      <w:r>
        <w:t xml:space="preserve"> </w:t>
      </w:r>
      <w:r>
        <w:t xml:space="preserve">is filled in the [1,1] position of the seedling recruitment matrix (</w:t>
      </w:r>
      <m:oMath>
        <m:sSub>
          <m:e>
            <m:r>
              <m:t>B</m:t>
            </m:r>
          </m:e>
          <m:sub>
            <m:r>
              <m:t>e</m:t>
            </m:r>
          </m:sub>
        </m:sSub>
        <m:d>
          <m:dPr>
            <m:begChr m:val="["/>
            <m:endChr m:val="]"/>
            <m:sepChr m:val=""/>
            <m:grow/>
          </m:dPr>
          <m:e>
            <m:r>
              <m:t>1</m:t>
            </m:r>
            <m:r>
              <m:rPr>
                <m:sty m:val="p"/>
              </m:rPr>
              <m:t>,</m:t>
            </m:r>
            <m:r>
              <m:t>1</m:t>
            </m:r>
          </m:e>
        </m:d>
      </m:oMath>
      <w:r>
        <w:t xml:space="preserve">). The cohort-specific emergence rates (</w:t>
      </w:r>
      <m:oMath>
        <m:sSub>
          <m:e>
            <m:r>
              <m:t>e</m:t>
            </m:r>
          </m:e>
          <m:sub>
            <m:r>
              <m:t>1</m:t>
            </m:r>
          </m:sub>
        </m:sSub>
      </m:oMath>
      <w:r>
        <w:t xml:space="preserve"> </w:t>
      </w:r>
      <w:r>
        <w:t xml:space="preserve">through</w:t>
      </w:r>
      <w:r>
        <w:t xml:space="preserve"> </w:t>
      </w:r>
      <m:oMath>
        <m:sSub>
          <m:e>
            <m:r>
              <m:t>e</m:t>
            </m:r>
          </m:e>
          <m:sub>
            <m:r>
              <m:t>6</m:t>
            </m:r>
          </m:sub>
        </m:sSub>
      </m:oMath>
      <w:r>
        <w:t xml:space="preserve">) were adjusted from the raw data (</w:t>
      </w:r>
      <m:oMath>
        <m:f>
          <m:fPr>
            <m:type m:val="bar"/>
          </m:fPr>
          <m:num>
            <m:sSub>
              <m:e>
                <m:r>
                  <m:t>p</m:t>
                </m:r>
              </m:e>
              <m:sub>
                <m:r>
                  <m:t>k</m:t>
                </m:r>
              </m:sub>
            </m:sSub>
          </m:num>
          <m:den>
            <m:sSub>
              <m:e>
                <m:r>
                  <m:t>N</m:t>
                </m:r>
              </m:e>
              <m:sub>
                <m:sSub>
                  <m:e>
                    <m:r>
                      <m:t>B</m:t>
                    </m:r>
                  </m:e>
                  <m:sub>
                    <m:r>
                      <m:t>s</m:t>
                    </m:r>
                    <m:r>
                      <m:t>t</m:t>
                    </m:r>
                    <m:r>
                      <m:rPr>
                        <m:sty m:val="p"/>
                      </m:rPr>
                      <m:t>,</m:t>
                    </m:r>
                    <m:r>
                      <m:t>11</m:t>
                    </m:r>
                  </m:sub>
                </m:sSub>
              </m:sub>
            </m:sSub>
          </m:den>
        </m:f>
      </m:oMath>
      <w:r>
        <w:t xml:space="preserve"> </w:t>
      </w:r>
      <w:r>
        <w:t xml:space="preserve">with</w:t>
      </w:r>
      <w:r>
        <w:t xml:space="preserve"> </w:t>
      </w:r>
      <m:oMath>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to reflect 5% emergence success rate (equivalent to</w:t>
      </w:r>
      <w:r>
        <w:t xml:space="preserve"> </w:t>
      </w:r>
      <m:oMath>
        <m:r>
          <m:t>E</m:t>
        </m:r>
        <m:r>
          <m:rPr>
            <m:sty m:val="p"/>
          </m:rPr>
          <m:t>=</m:t>
        </m:r>
        <m:r>
          <m:t>0.01</m:t>
        </m:r>
        <m:r>
          <m:rPr>
            <m:sty m:val="p"/>
          </m:rPr>
          <m:t>*</m:t>
        </m:r>
        <m:sSub>
          <m:e>
            <m:r>
              <m:t>N</m:t>
            </m:r>
          </m:e>
          <m:sub>
            <m:sSub>
              <m:e>
                <m:r>
                  <m:t>B</m:t>
                </m:r>
              </m:e>
              <m:sub>
                <m:r>
                  <m:t>s</m:t>
                </m:r>
                <m:r>
                  <m:t>t</m:t>
                </m:r>
                <m:r>
                  <m:rPr>
                    <m:sty m:val="p"/>
                  </m:rPr>
                  <m:t>,</m:t>
                </m:r>
                <m:r>
                  <m:t>11</m:t>
                </m:r>
              </m:sub>
            </m:sSub>
          </m:sub>
        </m:sSub>
      </m:oMath>
      <w:r>
        <w:t xml:space="preserve">) in crop environments that received pre-emergence herbicides (C2, C3 and C4 under conventional weed management and all the S2, S3, and S4</w:t>
      </w:r>
      <w:r>
        <w:t xml:space="preserve"> </w:t>
      </w:r>
      <w:r>
        <w:t xml:space="preserve">(Table 1, Nguyen and Liebman 2022)</w:t>
      </w:r>
      <w:r>
        <w:t xml:space="preserve">), 100% emergence success rate (equivalent to</w:t>
      </w:r>
      <w:r>
        <w:t xml:space="preserve"> </w:t>
      </w:r>
      <m:oMath>
        <m:r>
          <m:t>E</m:t>
        </m:r>
        <m:r>
          <m:rPr>
            <m:sty m:val="p"/>
          </m:rPr>
          <m:t>=</m:t>
        </m:r>
        <m:r>
          <m:t>1</m:t>
        </m:r>
        <m:r>
          <m:rPr>
            <m:sty m:val="p"/>
          </m:rPr>
          <m:t>*</m:t>
        </m:r>
        <m:sSub>
          <m:e>
            <m:r>
              <m:t>N</m:t>
            </m:r>
          </m:e>
          <m:sub>
            <m:sSub>
              <m:e>
                <m:r>
                  <m:t>B</m:t>
                </m:r>
              </m:e>
              <m:sub>
                <m:r>
                  <m:t>s</m:t>
                </m:r>
                <m:r>
                  <m:t>t</m:t>
                </m:r>
                <m:r>
                  <m:rPr>
                    <m:sty m:val="p"/>
                  </m:rPr>
                  <m:t>,</m:t>
                </m:r>
                <m:r>
                  <m:t>11</m:t>
                </m:r>
              </m:sub>
            </m:sSub>
          </m:sub>
        </m:sSub>
      </m:oMath>
      <w:r>
        <w:t xml:space="preserve">) in the crop environments that received post-emergence herbicides (C2, C3 and C4 under low herbicide weed management,</w:t>
      </w:r>
      <w:r>
        <w:t xml:space="preserve"> </w:t>
      </w:r>
      <w:r>
        <w:t xml:space="preserve">(Table 1, Nguyen and Liebman 2022)</w:t>
      </w:r>
      <w:r>
        <w:t xml:space="preserve">) and 50% emergence success rate (equivalent to</w:t>
      </w:r>
      <w:r>
        <w:t xml:space="preserve"> </w:t>
      </w:r>
      <m:oMath>
        <m:r>
          <m:t>E</m:t>
        </m:r>
        <m:r>
          <m:rPr>
            <m:sty m:val="p"/>
          </m:rPr>
          <m:t>=</m:t>
        </m:r>
        <m:r>
          <m:t>0.1</m:t>
        </m:r>
        <m:r>
          <m:rPr>
            <m:sty m:val="p"/>
          </m:rPr>
          <m:t>*</m:t>
        </m:r>
        <m:sSub>
          <m:e>
            <m:r>
              <m:t>N</m:t>
            </m:r>
          </m:e>
          <m:sub>
            <m:sSub>
              <m:e>
                <m:r>
                  <m:t>B</m:t>
                </m:r>
              </m:e>
              <m:sub>
                <m:r>
                  <m:t>s</m:t>
                </m:r>
                <m:r>
                  <m:t>t</m:t>
                </m:r>
                <m:r>
                  <m:rPr>
                    <m:sty m:val="p"/>
                  </m:rPr>
                  <m:t>,</m:t>
                </m:r>
                <m:r>
                  <m:t>11</m:t>
                </m:r>
              </m:sub>
            </m:sSub>
          </m:sub>
        </m:sSub>
      </m:oMath>
      <w:r>
        <w:t xml:space="preserve">).</w:t>
      </w:r>
    </w:p>
    <w:p>
      <w:pPr>
        <w:pStyle w:val="TableCaption"/>
      </w:pPr>
      <w:r>
        <w:t xml:space="preserve">Table 1: Estimated seedling emergence proportion with respect to the top 0 - 2 cm soil stratum using stratified soil seedbank densities sampled in 2019 and seedling emergence densities sampled in 2020; and adjusted seedling emergence proportions for use in the modelling excercises. The seedbank densities in 2019 were vertically redistributed with two passes of tillage: post-harvest (fall 2019) and pre-planting (spring 2020). Between the two passes of tillage, overwinter seed survial rates were calculated using the equations provided in Figures 1 and 3 of Sosnoskie et al., 2013.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2820"/>
        <w:gridCol w:w="4580"/>
        <w:gridCol w:w="4507"/>
        <w:gridCol w:w="1206"/>
        <w:gridCol w:w="1206"/>
        <w:gridCol w:w="1206"/>
        <w:gridCol w:w="1206"/>
        <w:gridCol w:w="1206"/>
        <w:gridCol w:w="1206"/>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Estimated total emergence proportion from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Assigned total emergence proportion from</w:t>
            </w:r>
          </w:p>
        </w:tc>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total emergence proportion of</w:t>
            </w:r>
          </w:p>
        </w:tc>
      </w:tr>
      <w:tr>
        <w:trPr>
          <w:cantSplit/>
          <w:trHeight w:val="617"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0 - 2 cm soil stratum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0 - 2 cm soil stratum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6</w:t>
            </w:r>
          </w:p>
        </w:tc>
      </w:tr>
      <w:tr>
        <w:trPr>
          <w:cantSplit/>
          <w:trHeight w:val="57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0.00082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0.00704</w:t>
            </w:r>
          </w:p>
        </w:tc>
      </w:tr>
      <w:tr>
        <w:trPr>
          <w:cantSplit/>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0.00014</w:t>
            </w:r>
          </w:p>
        </w:tc>
      </w:tr>
      <w:tr>
        <w:trPr>
          <w:cantSplit/>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0.00618</w:t>
            </w:r>
          </w:p>
        </w:tc>
      </w:tr>
      <w:tr>
        <w:trPr>
          <w:cantSplit/>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0.00015</w:t>
            </w:r>
          </w:p>
        </w:tc>
      </w:tr>
      <w:tr>
        <w:trPr>
          <w:cantSplit/>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0.00012</w:t>
            </w:r>
          </w:p>
        </w:tc>
      </w:tr>
      <w:tr>
        <w:trPr>
          <w:cantSplit/>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0.00021</w:t>
            </w:r>
          </w:p>
        </w:tc>
      </w:tr>
      <w:tr>
        <w:trPr>
          <w:cantSplit/>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0.00099</w:t>
            </w:r>
          </w:p>
        </w:tc>
      </w:tr>
      <w:tr>
        <w:trPr>
          <w:cantSplit/>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0.00641</w:t>
            </w:r>
          </w:p>
        </w:tc>
      </w:tr>
      <w:tr>
        <w:trPr>
          <w:cantSplit/>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0.00026</w:t>
            </w:r>
          </w:p>
        </w:tc>
      </w:tr>
      <w:tr>
        <w:trPr>
          <w:cantSplit/>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0.00053</w:t>
            </w:r>
          </w:p>
        </w:tc>
      </w:tr>
      <w:tr>
        <w:trPr>
          <w:cantSplit/>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0.00050</w:t>
            </w:r>
          </w:p>
        </w:tc>
      </w:tr>
      <w:tr>
        <w:trPr>
          <w:cantSplit/>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0.00344</w:t>
            </w:r>
          </w:p>
        </w:tc>
      </w:tr>
      <w:tr>
        <w:trPr>
          <w:cantSplit/>
          <w:trHeight w:val="57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0.00045</w:t>
            </w:r>
          </w:p>
        </w:tc>
      </w:tr>
      <w:tr>
        <w:trPr>
          <w:cantSplit/>
          <w:trHeight w:val="572"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0.00072</w:t>
            </w:r>
          </w:p>
        </w:tc>
      </w:tr>
    </w:tbl>
    <w:bookmarkStart w:id="39" w:name="refs"/>
    <w:bookmarkStart w:id="21"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0">
        <w:r>
          <w:rPr>
            <w:rStyle w:val="Hyperlink"/>
          </w:rPr>
          <w:t xml:space="preserve">https://doi.org/dmnt6f</w:t>
        </w:r>
      </w:hyperlink>
      <w:r>
        <w:t xml:space="preserve">.</w:t>
      </w:r>
    </w:p>
    <w:bookmarkEnd w:id="21"/>
    <w:bookmarkStart w:id="22"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2"/>
    <w:bookmarkStart w:id="24" w:name="ref-ferrierBiologicallyEffectiveDose2022"/>
    <w:p>
      <w:pPr>
        <w:pStyle w:val="Bibliography"/>
      </w:pPr>
      <w:r>
        <w:t xml:space="preserve">Ferrier, James, Nader Soltani, David C. Hooker, Darren E. Robinson, and Peter H. Sikkema. 2022a.</w:t>
      </w:r>
      <w:r>
        <w:t xml:space="preserve"> </w:t>
      </w:r>
      <w:r>
        <w:t xml:space="preserve">“Biologically Effective Dose of Flumioxazin and Pyroxasulfone for Control of Multiple Herbicide</w:t>
      </w:r>
      <w:r>
        <w:t xml:space="preserve">resistant Waterhemp (</w:t>
      </w:r>
      <w:r>
        <w:rPr>
          <w:iCs/>
          <w:i/>
        </w:rPr>
        <w:t xml:space="preserve">Amaranthus Rudis</w:t>
      </w:r>
      <w:r>
        <w:t xml:space="preserve">) in Soybean.”</w:t>
      </w:r>
      <w:r>
        <w:t xml:space="preserve"> </w:t>
      </w:r>
      <w:r>
        <w:rPr>
          <w:iCs/>
          <w:i/>
        </w:rPr>
        <w:t xml:space="preserve">Weed Sci</w:t>
      </w:r>
      <w:r>
        <w:t xml:space="preserve"> </w:t>
      </w:r>
      <w:r>
        <w:t xml:space="preserve">70 (2): 243–48.</w:t>
      </w:r>
      <w:r>
        <w:t xml:space="preserve"> </w:t>
      </w:r>
      <w:hyperlink r:id="rId23">
        <w:r>
          <w:rPr>
            <w:rStyle w:val="Hyperlink"/>
          </w:rPr>
          <w:t xml:space="preserve">https://doi.org/10.1017/wsc.2022.3</w:t>
        </w:r>
      </w:hyperlink>
      <w:r>
        <w:t xml:space="preserve">.</w:t>
      </w:r>
    </w:p>
    <w:bookmarkEnd w:id="24"/>
    <w:bookmarkStart w:id="26" w:name="X7f8daa5577bcebdc6312557945d7285ea2d0a93"/>
    <w:p>
      <w:pPr>
        <w:pStyle w:val="Bibliography"/>
      </w:pPr>
      <w:r>
        <w:t xml:space="preserve">———. 2022b.</w:t>
      </w:r>
      <w:r>
        <w:t xml:space="preserve"> </w:t>
      </w:r>
      <w:r>
        <w:t xml:space="preserve">“The Interaction of Pyroxasulfone and Flumioxazin Applied Preemergence for the Control of Multiple-Herbicide-Resistant Waterhemp (</w:t>
      </w:r>
      <w:r>
        <w:rPr>
          <w:iCs/>
          <w:i/>
        </w:rPr>
        <w:t xml:space="preserve">Amaranthus Rudis</w:t>
      </w:r>
      <w:r>
        <w:t xml:space="preserve">) in Soybean.”</w:t>
      </w:r>
      <w:r>
        <w:t xml:space="preserve"> </w:t>
      </w:r>
      <w:r>
        <w:rPr>
          <w:iCs/>
          <w:i/>
        </w:rPr>
        <w:t xml:space="preserve">Weed Technology</w:t>
      </w:r>
      <w:r>
        <w:t xml:space="preserve"> </w:t>
      </w:r>
      <w:r>
        <w:t xml:space="preserve">36 (2): 318–23.</w:t>
      </w:r>
      <w:r>
        <w:t xml:space="preserve"> </w:t>
      </w:r>
      <w:hyperlink r:id="rId25">
        <w:r>
          <w:rPr>
            <w:rStyle w:val="Hyperlink"/>
          </w:rPr>
          <w:t xml:space="preserve">https://doi.org/10.1017/wet.2022.11</w:t>
        </w:r>
      </w:hyperlink>
      <w:r>
        <w:t xml:space="preserve">.</w:t>
      </w:r>
    </w:p>
    <w:bookmarkEnd w:id="26"/>
    <w:bookmarkStart w:id="28" w:name="ref-hayHerbicideOptionsControl2019a"/>
    <w:p>
      <w:pPr>
        <w:pStyle w:val="Bibliography"/>
      </w:pPr>
      <w:r>
        <w:t xml:space="preserve">Hay, Marshall M., Douglas E. Shoup, and Dallas E. Peterson. 2019.</w:t>
      </w:r>
      <w:r>
        <w:t xml:space="preserve"> </w:t>
      </w:r>
      <w:r>
        <w:t xml:space="preserve">“Herbicide Options for Control of Palmer Amaranth (</w:t>
      </w:r>
      <w:r>
        <w:t xml:space="preserve"> </w:t>
      </w:r>
      <w:r>
        <w:rPr>
          <w:iCs/>
          <w:i/>
        </w:rPr>
        <w:t xml:space="preserve">Amaranthus Palmeri</w:t>
      </w:r>
      <w:r>
        <w:t xml:space="preserve">) and Common Waterhemp (</w:t>
      </w:r>
      <w:r>
        <w:t xml:space="preserve"> </w:t>
      </w:r>
      <w:r>
        <w:rPr>
          <w:iCs/>
          <w:i/>
        </w:rPr>
        <w:t xml:space="preserve">Amaranthus Rudis</w:t>
      </w:r>
      <w:r>
        <w:t xml:space="preserve">) in Double-Crop Soybean.”</w:t>
      </w:r>
      <w:r>
        <w:t xml:space="preserve"> </w:t>
      </w:r>
      <w:r>
        <w:rPr>
          <w:iCs/>
          <w:i/>
        </w:rPr>
        <w:t xml:space="preserve">Weed Technology</w:t>
      </w:r>
      <w:r>
        <w:t xml:space="preserve"> </w:t>
      </w:r>
      <w:r>
        <w:t xml:space="preserve">33 (1): 106–14.</w:t>
      </w:r>
      <w:r>
        <w:t xml:space="preserve"> </w:t>
      </w:r>
      <w:hyperlink r:id="rId27">
        <w:r>
          <w:rPr>
            <w:rStyle w:val="Hyperlink"/>
          </w:rPr>
          <w:t xml:space="preserve">https://doi.org/10.1017/wet.2018.86</w:t>
        </w:r>
      </w:hyperlink>
      <w:r>
        <w:t xml:space="preserve">.</w:t>
      </w:r>
    </w:p>
    <w:bookmarkEnd w:id="28"/>
    <w:bookmarkStart w:id="30" w:name="ref-janakWeedControlCorn2016"/>
    <w:p>
      <w:pPr>
        <w:pStyle w:val="Bibliography"/>
      </w:pPr>
      <w:r>
        <w:t xml:space="preserve">Janak, Travis W., and W. James Grichar. 2016.</w:t>
      </w:r>
      <w:r>
        <w:t xml:space="preserve"> </w:t>
      </w:r>
      <w:r>
        <w:t xml:space="preserve">“Weed Control in Corn (</w:t>
      </w:r>
      <w:r>
        <w:t xml:space="preserve"> </w:t>
      </w:r>
      <w:r>
        <w:rPr>
          <w:iCs/>
          <w:i/>
        </w:rPr>
        <w:t xml:space="preserve">Zea</w:t>
      </w:r>
      <w:r>
        <w:t xml:space="preserve"> </w:t>
      </w:r>
      <w:r>
        <w:rPr>
          <w:iCs/>
          <w:i/>
        </w:rPr>
        <w:t xml:space="preserve">Mays</w:t>
      </w:r>
      <w:r>
        <w:t xml:space="preserve"> </w:t>
      </w:r>
      <w:r>
        <w:t xml:space="preserve">l.) As Influenced by Preemergence Herbicides.”</w:t>
      </w:r>
      <w:r>
        <w:t xml:space="preserve"> </w:t>
      </w:r>
      <w:r>
        <w:rPr>
          <w:iCs/>
          <w:i/>
        </w:rPr>
        <w:t xml:space="preserve">International Journal of Agronomy</w:t>
      </w:r>
      <w:r>
        <w:t xml:space="preserve"> </w:t>
      </w:r>
      <w:r>
        <w:t xml:space="preserve">2016: 1–9.</w:t>
      </w:r>
      <w:r>
        <w:t xml:space="preserve"> </w:t>
      </w:r>
      <w:hyperlink r:id="rId29">
        <w:r>
          <w:rPr>
            <w:rStyle w:val="Hyperlink"/>
          </w:rPr>
          <w:t xml:space="preserve">https://doi.org/10.1155/2016/2607671</w:t>
        </w:r>
      </w:hyperlink>
      <w:r>
        <w:t xml:space="preserve">.</w:t>
      </w:r>
    </w:p>
    <w:bookmarkEnd w:id="30"/>
    <w:bookmarkStart w:id="32" w:name="Xe291911de505735613e2e8dfcf116fb0ae42ebf"/>
    <w:p>
      <w:pPr>
        <w:pStyle w:val="Bibliography"/>
      </w:pPr>
      <w:r>
        <w:t xml:space="preserve">Jhala, Amit J., Lowell D. Sandell, Debalin Sarangi, Greg R. Kruger, and Steven Z. Knezevic. 2017.</w:t>
      </w:r>
      <w:r>
        <w:t xml:space="preserve"> </w:t>
      </w:r>
      <w:r>
        <w:t xml:space="preserve">“Control of Glyphosate-Resistant Common Waterhemp (</w:t>
      </w:r>
      <w:r>
        <w:t xml:space="preserve"> </w:t>
      </w:r>
      <w:r>
        <w:rPr>
          <w:iCs/>
          <w:i/>
        </w:rPr>
        <w:t xml:space="preserve">A. Tuberculatus</w:t>
      </w:r>
      <w:r>
        <w:t xml:space="preserve">) in Glufosinate-Resistant Soybean.”</w:t>
      </w:r>
      <w:r>
        <w:t xml:space="preserve"> </w:t>
      </w:r>
      <w:r>
        <w:rPr>
          <w:iCs/>
          <w:i/>
        </w:rPr>
        <w:t xml:space="preserve">Weed Technol</w:t>
      </w:r>
      <w:r>
        <w:t xml:space="preserve"> </w:t>
      </w:r>
      <w:r>
        <w:t xml:space="preserve">31 (1): 32–45.</w:t>
      </w:r>
      <w:r>
        <w:t xml:space="preserve"> </w:t>
      </w:r>
      <w:hyperlink r:id="rId31">
        <w:r>
          <w:rPr>
            <w:rStyle w:val="Hyperlink"/>
          </w:rPr>
          <w:t xml:space="preserve">https://doi.org/10.1017/wet.2016.8</w:t>
        </w:r>
      </w:hyperlink>
      <w:r>
        <w:t xml:space="preserve">.</w:t>
      </w:r>
    </w:p>
    <w:bookmarkEnd w:id="32"/>
    <w:bookmarkStart w:id="34" w:name="ref-nguyenWeedCommunityComposition2022"/>
    <w:p>
      <w:pPr>
        <w:pStyle w:val="Bibliography"/>
      </w:pPr>
      <w:r>
        <w:t xml:space="preserve">Nguyen, Huong T. X., and Matt Liebman. 2022.</w:t>
      </w:r>
      <w:r>
        <w:t xml:space="preserve"> </w:t>
      </w:r>
      <w:r>
        <w:t xml:space="preserve">“Weed Community Composition in Simple and More Diverse Cropping Systems.”</w:t>
      </w:r>
      <w:r>
        <w:t xml:space="preserve"> </w:t>
      </w:r>
      <w:r>
        <w:rPr>
          <w:iCs/>
          <w:i/>
        </w:rPr>
        <w:t xml:space="preserve">Front. Agron.</w:t>
      </w:r>
      <w:r>
        <w:t xml:space="preserve"> </w:t>
      </w:r>
      <w:hyperlink r:id="rId33">
        <w:r>
          <w:rPr>
            <w:rStyle w:val="Hyperlink"/>
          </w:rPr>
          <w:t xml:space="preserve">https://doi.org/gpsrmk</w:t>
        </w:r>
      </w:hyperlink>
      <w:r>
        <w:t xml:space="preserve">.</w:t>
      </w:r>
    </w:p>
    <w:bookmarkEnd w:id="34"/>
    <w:bookmarkStart w:id="36" w:name="ref-schutteCommonWaterhempAmaranthus2014"/>
    <w:p>
      <w:pPr>
        <w:pStyle w:val="Bibliography"/>
      </w:pPr>
      <w:r>
        <w:t xml:space="preserve">Schutte, Brian J., and Adam S. Davis. 2014.</w:t>
      </w:r>
      <w:r>
        <w:t xml:space="preserve"> </w:t>
      </w:r>
      <w:r>
        <w:t xml:space="preserve">“Do Common Waterhemp (</w:t>
      </w:r>
      <w:r>
        <w:rPr>
          <w:iCs/>
          <w:i/>
        </w:rPr>
        <w:t xml:space="preserve">Amaranthus</w:t>
      </w:r>
      <w:r>
        <w:t xml:space="preserve"> </w:t>
      </w:r>
      <w:r>
        <w:rPr>
          <w:iCs/>
          <w:i/>
        </w:rPr>
        <w:t xml:space="preserve">Tuberculatus</w:t>
      </w:r>
      <w:r>
        <w:t xml:space="preserve">) Seedling Emergence Patterns Meet Criteria for Herbicide Resistance Simulation Modeling?”</w:t>
      </w:r>
      <w:r>
        <w:t xml:space="preserve"> </w:t>
      </w:r>
      <w:r>
        <w:rPr>
          <w:iCs/>
          <w:i/>
        </w:rPr>
        <w:t xml:space="preserve">Weed Technology</w:t>
      </w:r>
      <w:r>
        <w:t xml:space="preserve"> </w:t>
      </w:r>
      <w:r>
        <w:t xml:space="preserve">28 (2): 408–17.</w:t>
      </w:r>
      <w:r>
        <w:t xml:space="preserve"> </w:t>
      </w:r>
      <w:hyperlink r:id="rId35">
        <w:r>
          <w:rPr>
            <w:rStyle w:val="Hyperlink"/>
          </w:rPr>
          <w:t xml:space="preserve">https://doi.org/f54k2x</w:t>
        </w:r>
      </w:hyperlink>
      <w:r>
        <w:t xml:space="preserve">.</w:t>
      </w:r>
    </w:p>
    <w:bookmarkEnd w:id="36"/>
    <w:bookmarkStart w:id="38" w:name="X6e29ada795cf4618b06cd4264e489afd33b3dfc"/>
    <w:p>
      <w:pPr>
        <w:pStyle w:val="Bibliography"/>
      </w:pPr>
      <w:r>
        <w:t xml:space="preserve">Sutton, Peter, Claire Richards, Larry Buren, and Les Glasgow. 2002.</w:t>
      </w:r>
      <w:r>
        <w:t xml:space="preserve"> </w:t>
      </w:r>
      <w:r>
        <w:t xml:space="preserve">“Activity of Mesotrione on Resistant Weeds in Maize.”</w:t>
      </w:r>
      <w:r>
        <w:t xml:space="preserve"> </w:t>
      </w:r>
      <w:r>
        <w:rPr>
          <w:iCs/>
          <w:i/>
        </w:rPr>
        <w:t xml:space="preserve">Pest. Manag. Sci.</w:t>
      </w:r>
      <w:r>
        <w:t xml:space="preserve"> </w:t>
      </w:r>
      <w:r>
        <w:t xml:space="preserve">58 (9): 981–84.</w:t>
      </w:r>
      <w:r>
        <w:t xml:space="preserve"> </w:t>
      </w:r>
      <w:hyperlink r:id="rId37">
        <w:r>
          <w:rPr>
            <w:rStyle w:val="Hyperlink"/>
          </w:rPr>
          <w:t xml:space="preserve">https://doi.org/10.1002/ps.554</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2/ps.554" TargetMode="External" /><Relationship Type="http://schemas.openxmlformats.org/officeDocument/2006/relationships/hyperlink" Id="rId31" Target="https://doi.org/10.1017/wet.2016.8" TargetMode="External" /><Relationship Type="http://schemas.openxmlformats.org/officeDocument/2006/relationships/hyperlink" Id="rId27" Target="https://doi.org/10.1017/wet.2018.86" TargetMode="External" /><Relationship Type="http://schemas.openxmlformats.org/officeDocument/2006/relationships/hyperlink" Id="rId25" Target="https://doi.org/10.1017/wet.2022.11" TargetMode="External" /><Relationship Type="http://schemas.openxmlformats.org/officeDocument/2006/relationships/hyperlink" Id="rId23" Target="https://doi.org/10.1017/wsc.2022.3" TargetMode="External" /><Relationship Type="http://schemas.openxmlformats.org/officeDocument/2006/relationships/hyperlink" Id="rId29" Target="https://doi.org/10.1155/2016/2607671" TargetMode="External" /><Relationship Type="http://schemas.openxmlformats.org/officeDocument/2006/relationships/hyperlink" Id="rId20" Target="https://doi.org/dmnt6f" TargetMode="External" /><Relationship Type="http://schemas.openxmlformats.org/officeDocument/2006/relationships/hyperlink" Id="rId35" Target="https://doi.org/f54k2x" TargetMode="External" /><Relationship Type="http://schemas.openxmlformats.org/officeDocument/2006/relationships/hyperlink" Id="rId33"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2/ps.554" TargetMode="External" /><Relationship Type="http://schemas.openxmlformats.org/officeDocument/2006/relationships/hyperlink" Id="rId31" Target="https://doi.org/10.1017/wet.2016.8" TargetMode="External" /><Relationship Type="http://schemas.openxmlformats.org/officeDocument/2006/relationships/hyperlink" Id="rId27" Target="https://doi.org/10.1017/wet.2018.86" TargetMode="External" /><Relationship Type="http://schemas.openxmlformats.org/officeDocument/2006/relationships/hyperlink" Id="rId25" Target="https://doi.org/10.1017/wet.2022.11" TargetMode="External" /><Relationship Type="http://schemas.openxmlformats.org/officeDocument/2006/relationships/hyperlink" Id="rId23" Target="https://doi.org/10.1017/wsc.2022.3" TargetMode="External" /><Relationship Type="http://schemas.openxmlformats.org/officeDocument/2006/relationships/hyperlink" Id="rId29" Target="https://doi.org/10.1155/2016/2607671" TargetMode="External" /><Relationship Type="http://schemas.openxmlformats.org/officeDocument/2006/relationships/hyperlink" Id="rId20" Target="https://doi.org/dmnt6f" TargetMode="External" /><Relationship Type="http://schemas.openxmlformats.org/officeDocument/2006/relationships/hyperlink" Id="rId35" Target="https://doi.org/f54k2x" TargetMode="External" /><Relationship Type="http://schemas.openxmlformats.org/officeDocument/2006/relationships/hyperlink" Id="rId33"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2022-08-18T15:51:37Z</dcterms:created>
  <dcterms:modified xsi:type="dcterms:W3CDTF">2022-08-18T15:51:37Z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output">
    <vt:lpwstr/>
  </property>
</Properties>
</file>