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seed column before post-harvest tillage was transitioned from post-harvest tillage through spring tillage with the general form of</w:t>
      </w:r>
      <w:r>
        <w:t xml:space="preserve"> </w:t>
      </w:r>
      <m:oMath>
        <m:sSub>
          <m:e>
            <m:r>
              <m:t>A</m:t>
            </m:r>
          </m:e>
          <m:sub>
            <m:r>
              <m:t>h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h</m:t>
            </m:r>
          </m:sub>
        </m:sSub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by</w:t>
      </w:r>
      <w:r>
        <w:t xml:space="preserve"> </w:t>
      </w:r>
      <w:r>
        <w:t xml:space="preserve">Caswell (2001)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Write the top stratum of the newly shuffled seed columns (from fall tillage through spring tillage) into a dummy matrix</w:t>
      </w:r>
      <w:r>
        <w:br/>
      </w:r>
      <w:r>
        <w:rPr>
          <w:rStyle w:val="CommentTok"/>
        </w:rPr>
        <w:t xml:space="preserve"># https://community.rstudio.com/t/extract-matrix-rows-from-list/19357/2</w:t>
      </w:r>
      <w:r>
        <w:br/>
      </w:r>
      <w:r>
        <w:rPr>
          <w:rStyle w:val="CommentTok"/>
        </w:rPr>
        <w:t xml:space="preserve">#https://stackoverflow.com/questions/29511215/convert-row-names-into-first-column</w:t>
      </w:r>
      <w:r>
        <w:br/>
      </w:r>
      <w:r>
        <w:br/>
      </w:r>
      <w:r>
        <w:rPr>
          <w:rStyle w:val="NormalTok"/>
        </w:rPr>
        <w:t xml:space="preserve">mean_after_spring_tillage_pop_scenario1_top_stratum_df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mean_after_spring_tillage_pop_scenario1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top_stratum_density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top_stratum_female_density =</w:t>
      </w:r>
      <w:r>
        <w:rPr>
          <w:rStyle w:val="NormalTok"/>
        </w:rPr>
        <w:t xml:space="preserve"> top_stratum_density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#assume 1:1 male:female</w:t>
      </w:r>
      <w:r>
        <w:br/>
      </w:r>
      <w:r>
        <w:br/>
      </w:r>
      <w:r>
        <w:br/>
      </w:r>
      <w:r>
        <w:rPr>
          <w:rStyle w:val="CommentTok"/>
        </w:rPr>
        <w:t xml:space="preserve">#mean_after_spring_tillage_pop_scenario1_dummy &lt;-  lapply(split(mean_after_spring_tillage_pop_scenario1_df, mean_after_spring_tillage_pop_scenario1_df$matrix_id),</w:t>
      </w:r>
      <w:r>
        <w:br/>
      </w:r>
      <w:r>
        <w:rPr>
          <w:rStyle w:val="CommentTok"/>
        </w:rPr>
        <w:t xml:space="preserve">#       function(x)(matrix(x$top_stratum_density, nrow = 6)))</w:t>
      </w:r>
      <w:r>
        <w:br/>
      </w:r>
      <w:r>
        <w:br/>
      </w:r>
      <w:r>
        <w:rPr>
          <w:rStyle w:val="NormalTok"/>
        </w:rPr>
        <w:t xml:space="preserve">mean_after_spring_tillage_pop_scenario1_bottom_stratum_df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mean_after_spring_tillage_pop_scenario1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bottom_stratum_density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bottom_stratum_female_density =</w:t>
      </w:r>
      <w:r>
        <w:rPr>
          <w:rStyle w:val="NormalTok"/>
        </w:rPr>
        <w:t xml:space="preserve"> bottom_stratum_density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include in the matrix assembly section</w:t>
      </w:r>
    </w:p>
    <w:p>
      <w:pPr>
        <w:pStyle w:val="BodyText"/>
      </w:pPr>
      <w:r>
        <w:t xml:space="preserve">5% of the waterhemp seeds in a soil seedbank of 5 cm deep that was undisturbed mechanically in the first burial year and unexposed to herbicides throughout the experiment, emerged a year after seed burial</w:t>
      </w:r>
      <w:r>
        <w:t xml:space="preserve"> </w:t>
      </w:r>
      <w:r>
        <w:t xml:space="preserve">(Buhler and Hartzler 2001)</w:t>
      </w:r>
      <w:r>
        <w:t xml:space="preserve">. Annually, 23.5% +/- 16.6% sd of waterhemp seeds that were not treated with herbicides and undisturbed mechanically emerged from the top 1 cm soil layer</w:t>
      </w:r>
      <w:r>
        <w:t xml:space="preserve"> </w:t>
      </w:r>
      <w:r>
        <w:t xml:space="preserve">(Schutte and Davis 2014)</w:t>
      </w:r>
      <w:r>
        <w:t xml:space="preserve">.</w:t>
      </w:r>
    </w:p>
    <w:p>
      <w:pPr>
        <w:pStyle w:val="BodyText"/>
      </w:pPr>
      <w:r>
        <w:t xml:space="preserve">Mesotrione applied at 75 g/ha rate was 76% and 96% efficacious against</w:t>
      </w:r>
      <w:r>
        <w:t xml:space="preserve"> </w:t>
      </w:r>
      <w:r>
        <w:rPr>
          <w:iCs/>
          <w:i/>
        </w:rPr>
        <w:t xml:space="preserve">A retroflexus</w:t>
      </w:r>
      <w:r>
        <w:t xml:space="preserve"> </w:t>
      </w:r>
      <w:r>
        <w:t xml:space="preserve">L grown in corn that were susceptible and resistant to atrazine, respectively</w:t>
      </w:r>
      <w:r>
        <w:t xml:space="preserve"> </w:t>
      </w:r>
      <w:r>
        <w:t xml:space="preserve">(</w:t>
      </w:r>
      <w:r>
        <w:rPr>
          <w:bCs/>
          <w:b/>
        </w:rPr>
        <w:t xml:space="preserve">sutton2002activity?</w:t>
      </w:r>
      <w:r>
        <w:t xml:space="preserve">)</w:t>
      </w:r>
      <w:r>
        <w:t xml:space="preserve">. On average, the Thiencarbazone-methyl + isoxaflutole mixture was 93.5% efficacious and mesotrion was 70.75% efficacious against</w:t>
      </w:r>
      <w:r>
        <w:t xml:space="preserve"> </w:t>
      </w:r>
      <w:r>
        <w:rPr>
          <w:iCs/>
          <w:i/>
        </w:rPr>
        <w:t xml:space="preserve">A. palmeri</w:t>
      </w:r>
      <w:r>
        <w:t xml:space="preserve"> </w:t>
      </w:r>
      <w:r>
        <w:t xml:space="preserve">grown in corn</w:t>
      </w:r>
      <w:r>
        <w:t xml:space="preserve"> </w:t>
      </w:r>
      <w:r>
        <w:t xml:space="preserve">(Janak and Grichar 2016)</w:t>
      </w:r>
      <w:r>
        <w:t xml:space="preserve">.</w:t>
      </w:r>
    </w:p>
    <w:p>
      <w:pPr>
        <w:pStyle w:val="BodyText"/>
      </w:pPr>
      <w:r>
        <w:t xml:space="preserve">The resistance profile of waterhemp at our experiment site was undetermined. We combined the findings on other</w:t>
      </w:r>
      <w:r>
        <w:t xml:space="preserve"> </w:t>
      </w:r>
      <w:r>
        <w:rPr>
          <w:iCs/>
          <w:i/>
        </w:rPr>
        <w:t xml:space="preserve">Amaranthus</w:t>
      </w:r>
      <w:r>
        <w:t xml:space="preserve"> </w:t>
      </w:r>
      <w:r>
        <w:t xml:space="preserve">species from</w:t>
      </w:r>
      <w:r>
        <w:t xml:space="preserve"> </w:t>
      </w:r>
      <w:r>
        <w:t xml:space="preserve">(</w:t>
      </w:r>
      <w:r>
        <w:rPr>
          <w:bCs/>
          <w:b/>
        </w:rPr>
        <w:t xml:space="preserve">sutton2002activity?</w:t>
      </w:r>
      <w:r>
        <w:t xml:space="preserve">)</w:t>
      </w:r>
      <w:r>
        <w:t xml:space="preserve">;</w:t>
      </w:r>
      <w:r>
        <w:t xml:space="preserve"> </w:t>
      </w:r>
      <w:r>
        <w:t xml:space="preserve">Janak and Grichar (2016)</w:t>
      </w:r>
      <w:r>
        <w:t xml:space="preserve"> </w:t>
      </w:r>
      <w:r>
        <w:t xml:space="preserve">for herbicide efficacy and from</w:t>
      </w:r>
      <w:r>
        <w:t xml:space="preserve"> </w:t>
      </w:r>
      <w:r>
        <w:t xml:space="preserve">Buhler and Hartzler (2001)</w:t>
      </w:r>
      <w:r>
        <w:t xml:space="preserve"> </w:t>
      </w:r>
      <w:r>
        <w:t xml:space="preserve">and</w:t>
      </w:r>
      <w:r>
        <w:t xml:space="preserve"> </w:t>
      </w:r>
      <w:r>
        <w:t xml:space="preserve">Schutte and Davis (2014)</w:t>
      </w:r>
      <w:r>
        <w:t xml:space="preserve"> </w:t>
      </w:r>
      <w:r>
        <w:t xml:space="preserve">for herbicide-unexposed germinants’ emergence and set a uniform germination rate at 10% from the 0 - 2 cm soil stratum for our waterhemp populations in all crop environments except for C4 under low herbicide management and A4 that followed both corn weed management regimes.</w:t>
      </w:r>
    </w:p>
    <w:p>
      <w:pPr>
        <w:pStyle w:val="BodyText"/>
      </w:pPr>
      <w:r>
        <w:t xml:space="preserve">Seedling emergence proportions in the environments that were deemed too low were therefore adjusted to the equivalence 10% germination from the 0 - 2 cm soil stratum.</w:t>
      </w:r>
    </w:p>
    <w:p>
      <w:pPr>
        <w:pStyle w:val="TableCaption"/>
      </w:pPr>
      <w:r>
        <w:t xml:space="preserve">Table 1: Estimated and adjusted seedling emergence proportion with respect to the top 0 - 2 cm soil stratum and the whole seedbank (20 cm deep) using 2019 stratified soil seedbank densities and 2020 seedling emergence densities.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2820"/>
        <w:gridCol w:w="1572"/>
        <w:gridCol w:w="2001"/>
        <w:gridCol w:w="1328"/>
        <w:gridCol w:w="1572"/>
        <w:gridCol w:w="2001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total emergence proportion with respect 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total emergence proportion with respect to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 weed management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0 - 2 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 seedbank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0 - 2 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 seedbank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41.3096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0.0236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0.0207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0.0404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0.0433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Multiply the raw with the adjuster</w:t>
      </w:r>
      <w:r>
        <w:br/>
      </w:r>
      <w:r>
        <w:rPr>
          <w:rStyle w:val="NormalTok"/>
        </w:rPr>
        <w:t xml:space="preserve">female_emerge_prop_20_adjusted_df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female_emerge_prop_20_adjusted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(matrix_id, adjuster_,</w:t>
      </w:r>
      <w:r>
        <w:br/>
      </w:r>
      <w:r>
        <w:rPr>
          <w:rStyle w:val="NormalTok"/>
        </w:rPr>
        <w:t xml:space="preserve">         cohort1_mean_prop_wrt_top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cohort6_mean_prop_wrt_top,</w:t>
      </w:r>
      <w:r>
        <w:br/>
      </w:r>
      <w:r>
        <w:rPr>
          <w:rStyle w:val="NormalTok"/>
        </w:rPr>
        <w:t xml:space="preserve">         cohort1_mean_prop_wrt_whole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cohort6_mean_prop_wrt_whole)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adjusted_cohort1_mean_prop_wrt_top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cohort1_mean_prop_wrt_top,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adjusted_cohort2_mean_prop_wrt_top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cohort2_mean_prop_wrt_top,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adjusted_cohort3_mean_prop_wrt_top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cohort3_mean_prop_wrt_top,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adjusted_cohort4_mean_prop_wrt_top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cohort4_mean_prop_wrt_top,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adjusted_cohort5_mean_prop_wrt_top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cohort5_mean_prop_wrt_top,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adjusted_cohort6_mean_prop_wrt_top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cohort6_mean_prop_wrt_top,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adjusted_cohort1_mean_prop_wrt_whole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cohort1_mean_prop_wrt_whole,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adjusted_cohort2_mean_prop_wrt_whole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cohort2_mean_prop_wrt_whole,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adjusted_cohort3_mean_prop_wrt_whole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cohort3_mean_prop_wrt_whole,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adjusted_cohort4_mean_prop_wrt_whole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cohort4_mean_prop_wrt_whole,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adjusted_cohort5_mean_prop_wrt_whole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cohort5_mean_prop_wrt_whole,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adjusted_cohort6_mean_prop_wrt_whole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cohort6_mean_prop_wrt_whole,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top_mean_remain_prop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(adjusted_cohort1_mean_prop_wrt_top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adjusted_cohort2_mean_prop_wrt_top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adjusted_cohort3_mean_prop_wrt_top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adjusted_cohort4_mean_prop_wrt_top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adjusted_cohort5_mean_prop_wrt_top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adjusted_cohort6_mean_prop_wrt_top))</w:t>
      </w:r>
      <w:r>
        <w:br/>
      </w:r>
      <w:r>
        <w:br/>
      </w:r>
      <w:r>
        <w:br/>
      </w:r>
      <w:r>
        <w:rPr>
          <w:rStyle w:val="DocumentationTok"/>
        </w:rPr>
        <w:t xml:space="preserve">### Mean matrix list </w:t>
      </w:r>
      <w:r>
        <w:br/>
      </w:r>
      <w:r>
        <w:rPr>
          <w:rStyle w:val="NormalTok"/>
        </w:rPr>
        <w:t xml:space="preserve">female_emerge_prop_20_adjusted_df_long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female_emerge_prop_20_adjusted_df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(matrix_id, adjusted_cohort1_mean_prop_wrt_top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adjusted_cohort6_mean_prop_wrt_top)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matrix_id,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"adjusted_mean_emerge_prop"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female_emerge_prop_20_adjusted_list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(female_emerge_prop_20_adjusted_df_long, female_emerge_prop_20_adjusted_df_long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matrix_id),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adjusted_mean_emerge_prop),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adjusted_mean_emerge_prop,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DocumentationTok"/>
        </w:rPr>
        <w:t xml:space="preserve">### Save adjusted emergence list  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(female_emerge_prop_20_adjusted_list,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"../2-Data/Clean/adjusted-mean-emergence-prop.RData"</w:t>
      </w:r>
      <w:r>
        <w:rPr>
          <w:rStyle w:val="NormalTok"/>
        </w:rPr>
        <w:t xml:space="preserve">)</w:t>
      </w:r>
    </w:p>
    <w:bookmarkStart w:id="26" w:name="refs"/>
    <w:bookmarkStart w:id="21" w:name="ref-buhlerEmergencePersistenceSeed2001"/>
    <w:p>
      <w:pPr>
        <w:pStyle w:val="Bibliography"/>
      </w:pPr>
      <w:r>
        <w:t xml:space="preserve">Buhler, Douglas D., and Robert G. Hartzler. 2001.</w:t>
      </w:r>
      <w:r>
        <w:t xml:space="preserve"> </w:t>
      </w:r>
      <w:r>
        <w:t xml:space="preserve">“Emergence and Persistence of Seed of Velvetleaf, Common Waterhemp, Woolly Cupgrass, and Giant Foxtail.”</w:t>
      </w:r>
      <w:r>
        <w:t xml:space="preserve"> </w:t>
      </w:r>
      <w:r>
        <w:rPr>
          <w:iCs/>
          <w:i/>
        </w:rPr>
        <w:t xml:space="preserve">Weed Science</w:t>
      </w:r>
      <w:r>
        <w:t xml:space="preserve"> </w:t>
      </w:r>
      <w:r>
        <w:t xml:space="preserve">49 (2): 230–35.</w:t>
      </w:r>
      <w:r>
        <w:t xml:space="preserve"> </w:t>
      </w:r>
      <w:hyperlink r:id="rId20">
        <w:r>
          <w:rPr>
            <w:rStyle w:val="Hyperlink"/>
          </w:rPr>
          <w:t xml:space="preserve">https://doi.org/dmnt6f</w:t>
        </w:r>
      </w:hyperlink>
      <w:r>
        <w:t xml:space="preserve">.</w:t>
      </w:r>
    </w:p>
    <w:bookmarkEnd w:id="21"/>
    <w:bookmarkStart w:id="22" w:name="ref-caswellMatrixPopulationModels2001"/>
    <w:p>
      <w:pPr>
        <w:pStyle w:val="Bibliography"/>
      </w:pPr>
      <w:r>
        <w:t xml:space="preserve">Caswell, Hal. 2001.</w:t>
      </w:r>
      <w:r>
        <w:t xml:space="preserve"> </w:t>
      </w:r>
      <w:r>
        <w:rPr>
          <w:iCs/>
          <w:i/>
        </w:rPr>
        <w:t xml:space="preserve">Matrix Population Models: Construction, Analysis, and Interpretation</w:t>
      </w:r>
      <w:r>
        <w:t xml:space="preserve">. Second.</w:t>
      </w:r>
      <w:r>
        <w:t xml:space="preserve"> </w:t>
      </w:r>
      <w:r>
        <w:t xml:space="preserve">Sunderland, Mass.</w:t>
      </w:r>
      <w:r>
        <w:t xml:space="preserve">:</w:t>
      </w:r>
      <w:r>
        <w:t xml:space="preserve"> </w:t>
      </w:r>
      <w:r>
        <w:t xml:space="preserve">Sunderland, Mass. : Sinauer Associates</w:t>
      </w:r>
      <w:r>
        <w:t xml:space="preserve">.</w:t>
      </w:r>
    </w:p>
    <w:bookmarkEnd w:id="22"/>
    <w:bookmarkStart w:id="23" w:name="ref-janak2016weed"/>
    <w:p>
      <w:pPr>
        <w:pStyle w:val="Bibliography"/>
      </w:pPr>
      <w:r>
        <w:t xml:space="preserve">Janak, Travis W, and W James Grichar. 2016.</w:t>
      </w:r>
      <w:r>
        <w:t xml:space="preserve"> </w:t>
      </w:r>
      <w:r>
        <w:t xml:space="preserve">“Weed Control in Corn (Zea Mays l.) As Influenced by Preemergence Herbicides.”</w:t>
      </w:r>
      <w:r>
        <w:t xml:space="preserve"> </w:t>
      </w:r>
      <w:r>
        <w:rPr>
          <w:iCs/>
          <w:i/>
        </w:rPr>
        <w:t xml:space="preserve">International Journal of Agronomy</w:t>
      </w:r>
      <w:r>
        <w:t xml:space="preserve"> </w:t>
      </w:r>
      <w:r>
        <w:t xml:space="preserve">2016.</w:t>
      </w:r>
    </w:p>
    <w:bookmarkEnd w:id="23"/>
    <w:bookmarkStart w:id="25" w:name="ref-schutteCommonWaterhempAmaranthus2014"/>
    <w:p>
      <w:pPr>
        <w:pStyle w:val="Bibliography"/>
      </w:pPr>
      <w:r>
        <w:t xml:space="preserve">Schutte, Brian J., and Adam S. Davis. 2014.</w:t>
      </w:r>
      <w:r>
        <w:t xml:space="preserve"> </w:t>
      </w:r>
      <w:r>
        <w:t xml:space="preserve">“Do Common Waterhemp (</w:t>
      </w:r>
      <w:r>
        <w:rPr>
          <w:iCs/>
          <w:i/>
        </w:rPr>
        <w:t xml:space="preserve">Amaranthus</w:t>
      </w:r>
      <w:r>
        <w:t xml:space="preserve"> </w:t>
      </w:r>
      <w:r>
        <w:rPr>
          <w:iCs/>
          <w:i/>
        </w:rPr>
        <w:t xml:space="preserve">Tuberculatus</w:t>
      </w:r>
      <w:r>
        <w:t xml:space="preserve">) Seedling Emergence Patterns Meet Criteria for Herbicide Resistance Simulation Modeling?”</w:t>
      </w:r>
      <w:r>
        <w:t xml:space="preserve"> </w:t>
      </w:r>
      <w:r>
        <w:rPr>
          <w:iCs/>
          <w:i/>
        </w:rPr>
        <w:t xml:space="preserve">Weed Technology</w:t>
      </w:r>
      <w:r>
        <w:t xml:space="preserve"> </w:t>
      </w:r>
      <w:r>
        <w:t xml:space="preserve">28 (2): 408–17.</w:t>
      </w:r>
      <w:r>
        <w:t xml:space="preserve"> </w:t>
      </w:r>
      <w:hyperlink r:id="rId24">
        <w:r>
          <w:rPr>
            <w:rStyle w:val="Hyperlink"/>
          </w:rPr>
          <w:t xml:space="preserve">https://doi.org/f54k2x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dmnt6f" TargetMode="External" /><Relationship Type="http://schemas.openxmlformats.org/officeDocument/2006/relationships/hyperlink" Id="rId24" Target="https://doi.org/f54k2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dmnt6f" TargetMode="External" /><Relationship Type="http://schemas.openxmlformats.org/officeDocument/2006/relationships/hyperlink" Id="rId24" Target="https://doi.org/f54k2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2022-07-29T19:05:09Z</dcterms:created>
  <dcterms:modified xsi:type="dcterms:W3CDTF">2022-07-29T19:05:09Z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WH-pop-dynamics.bib</vt:lpwstr>
  </property>
  <property fmtid="{D5CDD505-2E9C-101B-9397-08002B2CF9AE}" pid="3" name="output">
    <vt:lpwstr/>
  </property>
</Properties>
</file>