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BodyText"/>
      </w:pPr>
      <w:r>
        <w:t xml:space="preserve">Goal: manipulate mature plant density for cohorts 1 through 3 via survival rate manipulation</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006</w:t>
      </w:r>
      <w:r>
        <w:rPr>
          <w:rStyle w:val="NormalTok"/>
        </w:rPr>
        <w:t xml:space="preserve"> </w:t>
      </w:r>
      <w:r>
        <w:rPr>
          <w:rStyle w:val="CommentTok"/>
        </w:rPr>
        <w:t xml:space="preserve">#99.4 % efficacy wrt plant density</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w:t>
      </w:r>
      <w:r>
        <w:rPr>
          <w:rStyle w:val="CommentTok"/>
        </w:rPr>
        <w:t xml:space="preserve"># sv_C[6,6] &lt;- .01</w:t>
      </w:r>
      <w:r>
        <w:br/>
      </w:r>
      <w:r>
        <w:rPr>
          <w:rStyle w:val="CommentTok"/>
        </w:rPr>
        <w:t xml:space="preserve">#  sv_C[7,7] &lt;- .01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CommentTok"/>
        </w:rPr>
        <w:t xml:space="preserve">#  sv_S[6,6] &lt;- .01</w:t>
      </w:r>
      <w:r>
        <w:br/>
      </w:r>
      <w:r>
        <w:rPr>
          <w:rStyle w:val="CommentTok"/>
        </w:rPr>
        <w:t xml:space="preserve">#  sv_S[7,7] &lt;- .01</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br/>
      </w:r>
      <w:r>
        <w:rPr>
          <w:rStyle w:val="NormalTok"/>
        </w:rPr>
        <w:t xml:space="preserve">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001</w:t>
      </w:r>
      <w:r>
        <w:rPr>
          <w:rStyle w:val="NormalTok"/>
        </w:rPr>
        <w:t xml:space="preserve"> </w:t>
      </w:r>
      <w:r>
        <w:rPr>
          <w:rStyle w:val="CommentTok"/>
        </w:rPr>
        <w:t xml:space="preserve">#99.9 % efficacy</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002</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rPr>
          <w:rStyle w:val="NormalTok"/>
        </w:rPr>
        <w:t xml:space="preserve"> </w:t>
      </w:r>
      <w:r>
        <w:rPr>
          <w:rStyle w:val="CommentTok"/>
        </w:rPr>
        <w:t xml:space="preserve"># 99.8% efficacy</w:t>
      </w:r>
      <w:r>
        <w:br/>
      </w:r>
      <w:r>
        <w:rPr>
          <w:rStyle w:val="NormalTok"/>
        </w:rPr>
        <w:t xml:space="preserve"> </w:t>
      </w:r>
      <w:r>
        <w:rPr>
          <w:rStyle w:val="CommentTok"/>
        </w:rPr>
        <w:t xml:space="preserve"># sv_C[6,6] &lt;- .01</w:t>
      </w:r>
      <w:r>
        <w:br/>
      </w:r>
      <w:r>
        <w:rPr>
          <w:rStyle w:val="CommentTok"/>
        </w:rPr>
        <w:t xml:space="preserve">#  sv_C[7,7] &lt;- .01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002</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CommentTok"/>
        </w:rPr>
        <w:t xml:space="preserve">#  sv_S[6,6] &lt;- .01</w:t>
      </w:r>
      <w:r>
        <w:br/>
      </w:r>
      <w:r>
        <w:rPr>
          <w:rStyle w:val="CommentTok"/>
        </w:rPr>
        <w:t xml:space="preserve">#  sv_S[7,7] &lt;- .01</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w:t>
      </w:r>
      <w:r>
        <w:br/>
      </w:r>
      <w:r>
        <w:rPr>
          <w:rStyle w:val="DocumentationTok"/>
        </w:rPr>
        <w:t xml:space="preserve">## Extra control efficacy in oat is now needed  </w:t>
      </w:r>
      <w:r>
        <w:br/>
      </w:r>
      <w:r>
        <w:rPr>
          <w:rStyle w:val="NormalTok"/>
        </w:rPr>
        <w:t xml:space="preserve">  sv_O[</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01</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CommentTok"/>
        </w:rPr>
        <w:t xml:space="preserve">#  sv_C[6,6] &lt;- .0001</w:t>
      </w:r>
      <w:r>
        <w:br/>
      </w:r>
      <w:r>
        <w:rPr>
          <w:rStyle w:val="CommentTok"/>
        </w:rPr>
        <w:t xml:space="preserve">#  sv_C[7,7] &lt;- .0001</w:t>
      </w:r>
      <w:r>
        <w:br/>
      </w:r>
      <w:r>
        <w:rPr>
          <w:rStyle w:val="CommentTok"/>
        </w:rPr>
        <w:t xml:space="preserve">#  sv_C[8,8] &lt;- .0001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w:t>
      </w:r>
      <w:r>
        <w:rPr>
          <w:rStyle w:val="CommentTok"/>
        </w:rPr>
        <w:t xml:space="preserve"># sv_S[6,6] &lt;- .0001</w:t>
      </w:r>
      <w:r>
        <w:br/>
      </w:r>
      <w:r>
        <w:rPr>
          <w:rStyle w:val="NormalTok"/>
        </w:rPr>
        <w:t xml:space="preserve"> </w:t>
      </w:r>
      <w:r>
        <w:rPr>
          <w:rStyle w:val="CommentTok"/>
        </w:rPr>
        <w:t xml:space="preserve"># sv_S[7,7] &lt;- .0001</w:t>
      </w:r>
      <w:r>
        <w:br/>
      </w:r>
      <w:r>
        <w:rPr>
          <w:rStyle w:val="CommentTok"/>
        </w:rPr>
        <w:t xml:space="preserve">#  sv_S[8,8] &lt;- .001</w:t>
      </w:r>
      <w:r>
        <w:br/>
      </w:r>
      <w:r>
        <w:br/>
      </w:r>
      <w:r>
        <w:rPr>
          <w:rStyle w:val="NormalTok"/>
        </w:rPr>
        <w:t xml:space="preserve">  </w:t>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sv_C[</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sv_C[</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005</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sv_S[</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sv_S[</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005</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009</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05</w:t>
      </w:r>
      <w:r>
        <w:br/>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009</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05</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It was expected that only the survival rate of cohorts 1 through 3 fecundity in corn and soybean were manipulated to find the mature plant thresholds, and that the survival rates of cohorts 4 and beyond in corn and soybean were kept as they were measured from 2018. However, additional control was neccessary in some crop phases. The crop phases marked with an asterisk (*) are where control measures extended beyond waterhemp cohort 3 would be neccessary. The crop phases marked with an inverted comma (’) are where no additional control was applied. Each panel was annotated with the average mature plant density (plants/m2) for the first three plant cohorts and the whole crop phase. The red horizontal line marks lambda = 1." title="" id="21" name="Picture"/>
            <a:graphic>
              <a:graphicData uri="http://schemas.openxmlformats.org/drawingml/2006/picture">
                <pic:pic>
                  <pic:nvPicPr>
                    <pic:cNvPr descr="Q1-mature-density-allowance-rot_files/figure-docx/mature-density-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It was expected that only the survival rate of cohorts 1 through 3 fecundity in corn and soybean were manipulated to find the mature plant thresholds, and that the survival rates of cohorts 4 and beyond in corn and soybean were kept as they were measured from 2018. However, additional control was neccessary in some crop phases. The crop phases marked with an asterisk (*) are where control measures extended beyond waterhemp cohort 3 would be neccessary. The crop phases marked with an inverted comma (’) are where no additional control was applied. Each panel was annotated with the average mature plant density (plants/m2) for the first three plant cohorts and the whole crop phase. The red horizontal line marks lambda = 1.</w:t>
      </w:r>
    </w:p>
    <w:p>
      <w:pPr>
        <w:pStyle w:val="SourceCode"/>
      </w:pPr>
      <w:r>
        <w:rPr>
          <w:rStyle w:val="VerbatimChar"/>
        </w:rPr>
        <w:t xml:space="preserve">## Warning: Removed 4 rows containing missing values (geom_point).</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 title="" id="24" name="Picture"/>
            <a:graphic>
              <a:graphicData uri="http://schemas.openxmlformats.org/drawingml/2006/picture">
                <pic:pic>
                  <pic:nvPicPr>
                    <pic:cNvPr descr="Q1-mature-density-allowance-rot_files/figure-docx/mature-density-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w:t>
      </w:r>
    </w:p>
    <w:p>
      <w:pPr>
        <w:pStyle w:val="SourceCode"/>
      </w:pPr>
      <w:r>
        <w:rPr>
          <w:rStyle w:val="VerbatimChar"/>
        </w:rPr>
        <w:t xml:space="preserve">## Warning: Removed 4 rows containing missing values (geom_point).</w:t>
      </w:r>
    </w:p>
    <w:p>
      <w:pPr>
        <w:pStyle w:val="CaptionedFigure"/>
      </w:pPr>
      <w:r>
        <w:drawing>
          <wp:inline>
            <wp:extent cx="5334000" cy="5334000"/>
            <wp:effectExtent b="0" l="0" r="0" t="0"/>
            <wp:docPr descr="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 title="" id="27" name="Picture"/>
            <a:graphic>
              <a:graphicData uri="http://schemas.openxmlformats.org/drawingml/2006/picture">
                <pic:pic>
                  <pic:nvPicPr>
                    <pic:cNvPr descr="Q1-mature-density-allowance-rot_files/figure-docx/mature-density-sim-N-plot-no-ann-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2022-08-03T04:55:15Z</dcterms:created>
  <dcterms:modified xsi:type="dcterms:W3CDTF">2022-08-03T04:55:15Z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