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the low control efficacy level as reflected by the 2018 reproduction potentials, waterhemp population densities were projected to increase rapidly in all rotations, but most quickly in the 2-year rotation (</w:t>
      </w:r>
      <m:oMath>
        <m:r>
          <m:t>λ</m:t>
        </m:r>
        <m:d>
          <m:dPr>
            <m:begChr m:val="("/>
            <m:endChr m:val=")"/>
            <m:sepChr m:val=""/>
            <m:grow/>
          </m:dPr>
          <m:e>
            <m:r>
              <m:t>2</m:t>
            </m:r>
            <m:r>
              <m:rPr>
                <m:sty m:val="p"/>
              </m:rPr>
              <m:t>,</m:t>
            </m:r>
            <m:r>
              <m:t>c</m:t>
            </m:r>
            <m:r>
              <m:t>o</m:t>
            </m:r>
            <m:r>
              <m:t>n</m:t>
            </m:r>
            <m:r>
              <m:t>v</m:t>
            </m:r>
          </m:e>
        </m:d>
        <m:r>
          <m:rPr>
            <m:sty m:val="p"/>
          </m:rPr>
          <m:t>=</m:t>
        </m:r>
        <m:r>
          <m:t>59.35</m:t>
        </m:r>
      </m:oMath>
      <w:r>
        <w:t xml:space="preserve"> </w:t>
      </w:r>
      <w:r>
        <w:t xml:space="preserve">and</w:t>
      </w:r>
      <w:r>
        <w:t xml:space="preserve"> </w:t>
      </w:r>
      <m:oMath>
        <m:r>
          <m:t>λ</m:t>
        </m:r>
        <m:d>
          <m:dPr>
            <m:begChr m:val="("/>
            <m:endChr m:val=")"/>
            <m:sepChr m:val=""/>
            <m:grow/>
          </m:dPr>
          <m:e>
            <m:r>
              <m:t>2</m:t>
            </m:r>
            <m:r>
              <m:rPr>
                <m:sty m:val="p"/>
              </m:rPr>
              <m:t>,</m:t>
            </m:r>
            <m:r>
              <m:t>l</m:t>
            </m:r>
            <m:r>
              <m:t>o</m:t>
            </m:r>
            <m:r>
              <m:t>w</m:t>
            </m:r>
          </m:e>
        </m:d>
        <m:r>
          <m:rPr>
            <m:sty m:val="p"/>
          </m:rPr>
          <m:t>=</m:t>
        </m:r>
        <m:r>
          <m:t>333</m:t>
        </m:r>
      </m:oMath>
      <w:r>
        <w:t xml:space="preserve">) and slowest in the 4-year rotation (</w:t>
      </w:r>
      <m:oMath>
        <m:r>
          <m:t>λ</m:t>
        </m:r>
        <m:d>
          <m:dPr>
            <m:begChr m:val="("/>
            <m:endChr m:val=")"/>
            <m:sepChr m:val=""/>
            <m:grow/>
          </m:dPr>
          <m:e>
            <m:r>
              <m:t>4</m:t>
            </m:r>
            <m:r>
              <m:rPr>
                <m:sty m:val="p"/>
              </m:rPr>
              <m:t>,</m:t>
            </m:r>
            <m:r>
              <m:t>c</m:t>
            </m:r>
            <m:r>
              <m:t>o</m:t>
            </m:r>
            <m:r>
              <m:t>n</m:t>
            </m:r>
            <m:r>
              <m:t>v</m:t>
            </m:r>
          </m:e>
        </m:d>
        <m:r>
          <m:rPr>
            <m:sty m:val="p"/>
          </m:rPr>
          <m:t>=</m:t>
        </m:r>
        <m:r>
          <m:t>14.65</m:t>
        </m:r>
      </m:oMath>
      <w:r>
        <w:t xml:space="preserve"> </w:t>
      </w:r>
      <w:r>
        <w:t xml:space="preserve">and</w:t>
      </w:r>
      <w:r>
        <w:t xml:space="preserve"> </w:t>
      </w:r>
      <m:oMath>
        <m:r>
          <m:t>λ</m:t>
        </m:r>
        <m:d>
          <m:dPr>
            <m:begChr m:val="("/>
            <m:endChr m:val=")"/>
            <m:sepChr m:val=""/>
            <m:grow/>
          </m:dPr>
          <m:e>
            <m:r>
              <m:t>4</m:t>
            </m:r>
            <m:r>
              <m:rPr>
                <m:sty m:val="p"/>
              </m:rPr>
              <m:t>,</m:t>
            </m:r>
            <m:r>
              <m:t>l</m:t>
            </m:r>
            <m:r>
              <m:t>o</m:t>
            </m:r>
            <m:r>
              <m:t>w</m:t>
            </m:r>
          </m:e>
        </m:d>
        <m:r>
          <m:rPr>
            <m:sty m:val="p"/>
          </m:rPr>
          <m:t>=</m:t>
        </m:r>
        <m:r>
          <m:t>10.50</m:t>
        </m:r>
      </m:oMath>
      <w:r>
        <w:t xml:space="preserve">) (Figure</w:t>
      </w:r>
      <w:r>
        <w:t xml:space="preserve"> </w:t>
      </w:r>
      <w:r>
        <w:t xml:space="preserve">??</w:t>
      </w:r>
      <w:r>
        <w:t xml:space="preserve"> </w:t>
      </w:r>
      <w:r>
        <w:t xml:space="preserve">and Table</w:t>
      </w:r>
      <w:r>
        <w:t xml:space="preserve"> </w:t>
      </w:r>
      <w:r>
        <w:t xml:space="preserve">1</w:t>
      </w:r>
      <w:r>
        <w:t xml:space="preserve">).</w:t>
      </w:r>
    </w:p>
    <w:p>
      <w:pPr>
        <w:pStyle w:val="BodyText"/>
      </w:pPr>
      <w:r>
        <w:t xml:space="preserve">The alfalfa phase of the 4-year rotation (A4) offered opportunities for decreasing</w:t>
      </w:r>
      <w:r>
        <w:t xml:space="preserve"> </w:t>
      </w:r>
      <m:oMath>
        <m:r>
          <m:t>λ</m:t>
        </m:r>
      </m:oMath>
      <w:r>
        <w:t xml:space="preserve">, which was not possible in any other crop phases in the three examined rotations. However, the declines in phase-wise</w:t>
      </w:r>
      <w:r>
        <w:t xml:space="preserve"> </w:t>
      </w:r>
      <m:oMath>
        <m:r>
          <m:t>λ</m:t>
        </m:r>
      </m:oMath>
      <w:r>
        <w:t xml:space="preserve"> </w:t>
      </w:r>
      <w:r>
        <w:t xml:space="preserve">in A4 (</w:t>
      </w:r>
      <m:oMath>
        <m:r>
          <m:t>λ</m:t>
        </m:r>
        <m:d>
          <m:dPr>
            <m:begChr m:val="("/>
            <m:endChr m:val=")"/>
            <m:sepChr m:val=""/>
            <m:grow/>
          </m:dPr>
          <m:e>
            <m:r>
              <m:t>A</m:t>
            </m:r>
            <m:r>
              <m:t>4</m:t>
            </m:r>
            <m:r>
              <m:rPr>
                <m:sty m:val="p"/>
              </m:rPr>
              <m:t>,</m:t>
            </m:r>
            <m:r>
              <m:t>c</m:t>
            </m:r>
            <m:r>
              <m:t>o</m:t>
            </m:r>
            <m:r>
              <m:t>n</m:t>
            </m:r>
            <m:r>
              <m:t>v</m:t>
            </m:r>
          </m:e>
        </m:d>
        <m:r>
          <m:rPr>
            <m:sty m:val="p"/>
          </m:rPr>
          <m:t>=</m:t>
        </m:r>
        <m:r>
          <m:t>0.57</m:t>
        </m:r>
      </m:oMath>
      <w:r>
        <w:t xml:space="preserve"> </w:t>
      </w:r>
      <w:r>
        <w:t xml:space="preserve">and</w:t>
      </w:r>
      <w:r>
        <w:t xml:space="preserve"> </w:t>
      </w:r>
      <m:oMath>
        <m:r>
          <m:t>λ</m:t>
        </m:r>
        <m:d>
          <m:dPr>
            <m:begChr m:val="("/>
            <m:endChr m:val=")"/>
            <m:sepChr m:val=""/>
            <m:grow/>
          </m:dPr>
          <m:e>
            <m:r>
              <m:t>A</m:t>
            </m:r>
            <m:r>
              <m:t>4</m:t>
            </m:r>
            <m:r>
              <m:rPr>
                <m:sty m:val="p"/>
              </m:rPr>
              <m:t>,</m:t>
            </m:r>
            <m:r>
              <m:t>c</m:t>
            </m:r>
            <m:r>
              <m:t>o</m:t>
            </m:r>
            <m:r>
              <m:t>n</m:t>
            </m:r>
            <m:r>
              <m:t>v</m:t>
            </m:r>
          </m:e>
        </m:d>
        <m:r>
          <m:rPr>
            <m:sty m:val="p"/>
          </m:rPr>
          <m:t>=</m:t>
        </m:r>
        <m:r>
          <m:t>0.53</m:t>
        </m:r>
      </m:oMath>
      <w:r>
        <w:t xml:space="preserve">) were not strong enough to deplete seed replenishment occurring in the corn phase (</w:t>
      </w:r>
      <m:oMath>
        <m:r>
          <m:t>λ</m:t>
        </m:r>
        <m:d>
          <m:dPr>
            <m:begChr m:val="("/>
            <m:endChr m:val=")"/>
            <m:sepChr m:val=""/>
            <m:grow/>
          </m:dPr>
          <m:e>
            <m:r>
              <m:t>C</m:t>
            </m:r>
            <m:r>
              <m:t>4</m:t>
            </m:r>
            <m:r>
              <m:rPr>
                <m:sty m:val="p"/>
              </m:rPr>
              <m:t>,</m:t>
            </m:r>
            <m:r>
              <m:t>c</m:t>
            </m:r>
            <m:r>
              <m:t>o</m:t>
            </m:r>
            <m:r>
              <m:t>n</m:t>
            </m:r>
            <m:r>
              <m:t>v</m:t>
            </m:r>
          </m:e>
        </m:d>
        <m:r>
          <m:rPr>
            <m:sty m:val="p"/>
          </m:rPr>
          <m:t>=</m:t>
        </m:r>
        <m:r>
          <m:t>29.68</m:t>
        </m:r>
      </m:oMath>
      <w:r>
        <w:t xml:space="preserve">, and</w:t>
      </w:r>
      <w:r>
        <w:t xml:space="preserve"> </w:t>
      </w:r>
      <m:oMath>
        <m:r>
          <m:t>λ</m:t>
        </m:r>
        <m:d>
          <m:dPr>
            <m:begChr m:val="("/>
            <m:endChr m:val=")"/>
            <m:sepChr m:val=""/>
            <m:grow/>
          </m:dPr>
          <m:e>
            <m:r>
              <m:t>C</m:t>
            </m:r>
            <m:r>
              <m:t>4</m:t>
            </m:r>
            <m:r>
              <m:rPr>
                <m:sty m:val="p"/>
              </m:rPr>
              <m:t>,</m:t>
            </m:r>
            <m:r>
              <m:t>l</m:t>
            </m:r>
            <m:r>
              <m:t>o</m:t>
            </m:r>
            <m:r>
              <m:t>w</m:t>
            </m:r>
          </m:e>
        </m:d>
        <m:r>
          <m:rPr>
            <m:sty m:val="p"/>
          </m:rPr>
          <m:t>=</m:t>
        </m:r>
        <m:r>
          <m:t>92.07</m:t>
        </m:r>
      </m:oMath>
      <w:r>
        <w:t xml:space="preserve">), soybean phase (</w:t>
      </w:r>
      <m:oMath>
        <m:r>
          <m:t>λ</m:t>
        </m:r>
        <m:d>
          <m:dPr>
            <m:begChr m:val="("/>
            <m:endChr m:val=")"/>
            <m:sepChr m:val=""/>
            <m:grow/>
          </m:dPr>
          <m:e>
            <m:r>
              <m:t>S</m:t>
            </m:r>
            <m:r>
              <m:t>4</m:t>
            </m:r>
            <m:r>
              <m:rPr>
                <m:sty m:val="p"/>
              </m:rPr>
              <m:t>,</m:t>
            </m:r>
            <m:r>
              <m:t>c</m:t>
            </m:r>
            <m:r>
              <m:t>o</m:t>
            </m:r>
            <m:r>
              <m:t>n</m:t>
            </m:r>
            <m:r>
              <m:t>v</m:t>
            </m:r>
          </m:e>
        </m:d>
        <m:r>
          <m:rPr>
            <m:sty m:val="p"/>
          </m:rPr>
          <m:t>=</m:t>
        </m:r>
        <m:r>
          <m:t>773.71</m:t>
        </m:r>
      </m:oMath>
      <w:r>
        <w:t xml:space="preserve">, and</w:t>
      </w:r>
      <w:r>
        <w:t xml:space="preserve"> </w:t>
      </w:r>
      <m:oMath>
        <m:r>
          <m:t>λ</m:t>
        </m:r>
        <m:d>
          <m:dPr>
            <m:begChr m:val="("/>
            <m:endChr m:val=")"/>
            <m:sepChr m:val=""/>
            <m:grow/>
          </m:dPr>
          <m:e>
            <m:r>
              <m:t>C</m:t>
            </m:r>
            <m:r>
              <m:t>4</m:t>
            </m:r>
            <m:r>
              <m:rPr>
                <m:sty m:val="p"/>
              </m:rPr>
              <m:t>,</m:t>
            </m:r>
            <m:r>
              <m:t>l</m:t>
            </m:r>
            <m:r>
              <m:t>o</m:t>
            </m:r>
            <m:r>
              <m:t>w</m:t>
            </m:r>
          </m:e>
        </m:d>
        <m:r>
          <m:rPr>
            <m:sty m:val="p"/>
          </m:rPr>
          <m:t>=</m:t>
        </m:r>
        <m:r>
          <m:t>10.18</m:t>
        </m:r>
      </m:oMath>
      <w:r>
        <w:t xml:space="preserve">), and oat phase (</w:t>
      </w:r>
      <m:oMath>
        <m:r>
          <m:t>λ</m:t>
        </m:r>
        <m:d>
          <m:dPr>
            <m:begChr m:val="("/>
            <m:endChr m:val=")"/>
            <m:sepChr m:val=""/>
            <m:grow/>
          </m:dPr>
          <m:e>
            <m:r>
              <m:t>O</m:t>
            </m:r>
            <m:r>
              <m:t>4</m:t>
            </m:r>
            <m:r>
              <m:rPr>
                <m:sty m:val="p"/>
              </m:rPr>
              <m:t>,</m:t>
            </m:r>
            <m:r>
              <m:t>c</m:t>
            </m:r>
            <m:r>
              <m:t>o</m:t>
            </m:r>
            <m:r>
              <m:t>n</m:t>
            </m:r>
            <m:r>
              <m:t>v</m:t>
            </m:r>
          </m:e>
        </m:d>
        <m:r>
          <m:rPr>
            <m:sty m:val="p"/>
          </m:rPr>
          <m:t>=</m:t>
        </m:r>
        <m:r>
          <m:t>6.54</m:t>
        </m:r>
      </m:oMath>
      <w:r>
        <w:t xml:space="preserve">, and</w:t>
      </w:r>
      <w:r>
        <w:t xml:space="preserve"> </w:t>
      </w:r>
      <m:oMath>
        <m:r>
          <m:t>λ</m:t>
        </m:r>
        <m:d>
          <m:dPr>
            <m:begChr m:val="("/>
            <m:endChr m:val=")"/>
            <m:sepChr m:val=""/>
            <m:grow/>
          </m:dPr>
          <m:e>
            <m:r>
              <m:t>O</m:t>
            </m:r>
            <m:r>
              <m:t>4</m:t>
            </m:r>
            <m:r>
              <m:rPr>
                <m:sty m:val="p"/>
              </m:rPr>
              <m:t>,</m:t>
            </m:r>
            <m:r>
              <m:t>l</m:t>
            </m:r>
            <m:r>
              <m:t>o</m:t>
            </m:r>
            <m:r>
              <m:t>w</m:t>
            </m:r>
          </m:e>
        </m:d>
        <m:r>
          <m:rPr>
            <m:sty m:val="p"/>
          </m:rPr>
          <m:t>=</m:t>
        </m:r>
        <m:r>
          <m:t>12.80</m:t>
        </m:r>
      </m:oMath>
      <w:r>
        <w:t xml:space="preserve">).</w:t>
      </w:r>
    </w:p>
    <w:bookmarkStart w:id="26" w:name="scenario-2"/>
    <w:p>
      <w:pPr>
        <w:pStyle w:val="Heading3"/>
      </w:pPr>
      <w:r>
        <w:t xml:space="preserve">Scenario 2</w:t>
      </w:r>
    </w:p>
    <w:p>
      <w:pPr>
        <w:pStyle w:val="FirstParagraph"/>
      </w:pPr>
      <w:r>
        <w:t xml:space="preserve">Unlike Scenario 1’s dynamics, the differences in the absolute value of the elasticity of</w:t>
      </w:r>
      <w:r>
        <w:t xml:space="preserve"> </w:t>
      </w:r>
      <m:oMath>
        <m:sSub>
          <m:e>
            <m:r>
              <m:t>λ</m:t>
            </m:r>
          </m:e>
          <m:sub>
            <m:r>
              <m:t>r</m:t>
            </m:r>
          </m:sub>
        </m:sSub>
      </m:oMath>
      <w:r>
        <w:t xml:space="preserve"> </w:t>
      </w:r>
      <w:r>
        <w:t xml:space="preserve">to the first-ranked and second-ranked groups of parameters were multiple orders of magnitude. The seed producing parameters were ranked higher in all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’s to fecundity rates, as a group, were ranked first in all crop phases (Figure</w:t>
      </w:r>
      <w:r>
        <w:t xml:space="preserve"> </w:t>
      </w:r>
      <w:r>
        <w:t xml:space="preserve">2</w:t>
      </w:r>
      <w:r>
        <w:t xml:space="preserve">). The elasticity of</w:t>
      </w:r>
      <w:r>
        <w:t xml:space="preserve"> </w:t>
      </w:r>
      <m:oMath>
        <m:r>
          <m:t>λ</m:t>
        </m:r>
      </m:oMath>
      <w:r>
        <w:t xml:space="preserve">’s to cohort one fecundity were the highest in C2 (4.02 x</w:t>
      </w:r>
      <w:r>
        <w:t xml:space="preserve"> </w:t>
      </w:r>
      <m:oMath>
        <m:sSup>
          <m:e>
            <m:r>
              <m:t>10</m:t>
            </m:r>
          </m:e>
          <m:sup>
            <m:r>
              <m:t>6</m:t>
            </m:r>
          </m:sup>
        </m:sSup>
      </m:oMath>
      <w:r>
        <w:t xml:space="preserve"> </w:t>
      </w:r>
      <w:r>
        <w:t xml:space="preserve">and 3.44 x</w:t>
      </w:r>
      <w:r>
        <w:t xml:space="preserve"> </w:t>
      </w:r>
      <m:oMath>
        <m:sSup>
          <m:e>
            <m:r>
              <m:t>10</m:t>
            </m:r>
          </m:e>
          <m:sup>
            <m:r>
              <m:t>6</m:t>
            </m:r>
          </m:sup>
        </m:sSup>
      </m:oMath>
      <w:r>
        <w:t xml:space="preserve">), S3 (1.33 x</w:t>
      </w:r>
      <w:r>
        <w:t xml:space="preserve"> </w:t>
      </w:r>
      <m:oMath>
        <m:sSup>
          <m:e>
            <m:r>
              <m:t>10</m:t>
            </m:r>
          </m:e>
          <m:sup>
            <m:r>
              <m:t>6</m:t>
            </m:r>
          </m:sup>
        </m:sSup>
      </m:oMath>
      <w:r>
        <w:t xml:space="preserve"> </w:t>
      </w:r>
      <w:r>
        <w:t xml:space="preserve">and 1.61 x</w:t>
      </w:r>
      <w:r>
        <w:t xml:space="preserve"> </w:t>
      </w:r>
      <m:oMath>
        <m:sSup>
          <m:e>
            <m:r>
              <m:t>10</m:t>
            </m:r>
          </m:e>
          <m:sup>
            <m:r>
              <m:t>6</m:t>
            </m:r>
          </m:sup>
        </m:sSup>
      </m:oMath>
      <w:r>
        <w:t xml:space="preserve">), and O4 (682.28 and 1531.97) phases. The elasticity of</w:t>
      </w:r>
      <w:r>
        <w:t xml:space="preserve"> </w:t>
      </w:r>
      <m:oMath>
        <m:sSub>
          <m:e>
            <m:r>
              <m:t>λ</m:t>
            </m:r>
          </m:e>
          <m:sub>
            <m:r>
              <m:t>r</m:t>
            </m:r>
          </m:sub>
        </m:sSub>
      </m:oMath>
      <w:r>
        <w:t xml:space="preserve">’s elasticity to cohort two fecundity were the highest in S2 (1.82 x</w:t>
      </w:r>
      <w:r>
        <w:t xml:space="preserve"> </w:t>
      </w:r>
      <m:oMath>
        <m:sSup>
          <m:e>
            <m:r>
              <m:t>10</m:t>
            </m:r>
          </m:e>
          <m:sup>
            <m:r>
              <m:t>7</m:t>
            </m:r>
          </m:sup>
        </m:sSup>
      </m:oMath>
      <w:r>
        <w:t xml:space="preserve"> </w:t>
      </w:r>
      <w:r>
        <w:t xml:space="preserve">and 1.39 x</w:t>
      </w:r>
      <w:r>
        <w:t xml:space="preserve"> </w:t>
      </w:r>
      <m:oMath>
        <m:sSup>
          <m:e>
            <m:r>
              <m:t>10</m:t>
            </m:r>
          </m:e>
          <m:sup>
            <m:r>
              <m:t>7</m:t>
            </m:r>
          </m:sup>
        </m:sSup>
      </m:oMath>
      <w:r>
        <w:t xml:space="preserve">), C3 (2.22 x</w:t>
      </w:r>
      <w:r>
        <w:t xml:space="preserve"> </w:t>
      </w:r>
      <m:oMath>
        <m:sSup>
          <m:e>
            <m:r>
              <m:t>10</m:t>
            </m:r>
          </m:e>
          <m:sup>
            <m:r>
              <m:t>6</m:t>
            </m:r>
          </m:sup>
        </m:sSup>
      </m:oMath>
      <w:r>
        <w:t xml:space="preserve"> </w:t>
      </w:r>
      <w:r>
        <w:t xml:space="preserve">and 5.69 x</w:t>
      </w:r>
      <w:r>
        <w:t xml:space="preserve"> </w:t>
      </w:r>
      <m:oMath>
        <m:sSup>
          <m:e>
            <m:r>
              <m:t>10</m:t>
            </m:r>
          </m:e>
          <m:sup>
            <m:r>
              <m:t>5</m:t>
            </m:r>
          </m:sup>
        </m:sSup>
      </m:oMath>
      <w:r>
        <w:t xml:space="preserve">), O3 (76673.94 and</w:t>
      </w:r>
      <w:r>
        <w:br/>
      </w:r>
      <w:r>
        <w:t xml:space="preserve">62845.84), C4 (5.84 x</w:t>
      </w:r>
      <w:r>
        <w:t xml:space="preserve"> </w:t>
      </w:r>
      <m:oMath>
        <m:sSup>
          <m:e>
            <m:r>
              <m:t>10</m:t>
            </m:r>
          </m:e>
          <m:sup>
            <m:r>
              <m:t>7</m:t>
            </m:r>
          </m:sup>
        </m:sSup>
      </m:oMath>
      <w:r>
        <w:t xml:space="preserve"> </w:t>
      </w:r>
      <w:r>
        <w:t xml:space="preserve">and 1.01 x</w:t>
      </w:r>
      <w:r>
        <w:t xml:space="preserve"> </w:t>
      </w:r>
      <m:oMath>
        <m:sSup>
          <m:e>
            <m:r>
              <m:t>10</m:t>
            </m:r>
          </m:e>
          <m:sup>
            <m:r>
              <m:t>6</m:t>
            </m:r>
          </m:sup>
        </m:sSup>
      </m:oMath>
      <w:r>
        <w:t xml:space="preserve">), S4 (5.74 x</w:t>
      </w:r>
      <w:r>
        <w:t xml:space="preserve"> </w:t>
      </w:r>
      <m:oMath>
        <m:sSup>
          <m:e>
            <m:r>
              <m:t>10</m:t>
            </m:r>
          </m:e>
          <m:sup>
            <m:r>
              <m:t>6</m:t>
            </m:r>
          </m:sup>
        </m:sSup>
      </m:oMath>
      <w:r>
        <w:t xml:space="preserve"> </w:t>
      </w:r>
      <w:r>
        <w:t xml:space="preserve">and 2.17 x</w:t>
      </w:r>
      <w:r>
        <w:t xml:space="preserve"> </w:t>
      </w:r>
      <m:oMath>
        <m:sSup>
          <m:e>
            <m:r>
              <m:t>10</m:t>
            </m:r>
          </m:e>
          <m:sup>
            <m:r>
              <m:t>6</m:t>
            </m:r>
          </m:sup>
        </m:sSup>
      </m:oMath>
      <w:r>
        <w:t xml:space="preserve">), and A4 (1850.3 and 156.54) phases.</w:t>
      </w:r>
    </w:p>
    <w:p>
      <w:pPr>
        <w:pStyle w:val="BodyText"/>
      </w:pPr>
      <w:r>
        <w:t xml:space="preserve">The second-ranked group of demographic parameters to</w:t>
      </w:r>
      <w:r>
        <w:t xml:space="preserve"> </w:t>
      </w:r>
      <m:oMath>
        <m:sSub>
          <m:e>
            <m:r>
              <m:t>λ</m:t>
            </m:r>
          </m:e>
          <m:sub>
            <m:r>
              <m:t>r</m:t>
            </m:r>
          </m:sub>
        </m:sSub>
      </m:oMath>
      <w:r>
        <w:t xml:space="preserve"> </w:t>
      </w:r>
      <w:r>
        <w:t xml:space="preserve">differed by rotation and crop phase. In the 2-year rotation, the second-ranked group of parameters in contribution to the elasticity of</w:t>
      </w:r>
      <w:r>
        <w:t xml:space="preserve"> </w:t>
      </w:r>
      <m:oMath>
        <m:r>
          <m:t>λ</m:t>
        </m:r>
        <m:d>
          <m:dPr>
            <m:begChr m:val="("/>
            <m:endChr m:val=")"/>
            <m:sepChr m:val=""/>
            <m:grow/>
          </m:dPr>
          <m:e>
            <m:r>
              <m:t>2</m:t>
            </m:r>
          </m:e>
        </m:d>
      </m:oMath>
      <w:r>
        <w:t xml:space="preserve"> </w:t>
      </w:r>
      <w:r>
        <w:t xml:space="preserve">were both pre-planting tillage-induced seed movement and overwinter seed survival. In the 3-year rotation, no clear pattern of the second-ranked group of parameters in contribution to elasticity of</w:t>
      </w:r>
      <w:r>
        <w:t xml:space="preserve"> </w:t>
      </w:r>
      <m:oMath>
        <m:r>
          <m:t>λ</m:t>
        </m:r>
        <m:d>
          <m:dPr>
            <m:begChr m:val="("/>
            <m:endChr m:val=")"/>
            <m:sepChr m:val=""/>
            <m:grow/>
          </m:dPr>
          <m:e>
            <m:r>
              <m:t>3</m:t>
            </m:r>
          </m:e>
        </m:d>
      </m:oMath>
      <w:r>
        <w:t xml:space="preserve"> </w:t>
      </w:r>
      <w:r>
        <w:t xml:space="preserve">was observed: overwinter survival rate of the top stratum seeds in C3, non-germinating seeds in the top stratum in S3, and overwinter survival rate of the bottom stratum seeds in O3. In the 4-year rotation, the second-ranked group of parameters in contribution to elasticity of</w:t>
      </w:r>
      <w:r>
        <w:t xml:space="preserve"> </w:t>
      </w:r>
      <m:oMath>
        <m:r>
          <m:t>λ</m:t>
        </m:r>
        <m:d>
          <m:dPr>
            <m:begChr m:val="("/>
            <m:endChr m:val=")"/>
            <m:sepChr m:val=""/>
            <m:grow/>
          </m:dPr>
          <m:e>
            <m:r>
              <m:t>4</m:t>
            </m:r>
          </m:e>
        </m:d>
      </m:oMath>
      <w:r>
        <w:t xml:space="preserve"> </w:t>
      </w:r>
      <w:r>
        <w:t xml:space="preserve">was overwinter seed survival in the warm-season crop phase and non-germinating seeds in the top stratum in the cool-season crop phases.</w:t>
      </w:r>
    </w:p>
    <w:p>
      <w:pPr>
        <w:pStyle w:val="TableCaption"/>
      </w:pPr>
      <w:r>
        <w:t xml:space="preserve">Table 1: Population growth rate under high control efficacy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phase wise lambda in</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 wise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3,523.00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111,091.72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113,185.49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12,141.08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bl>
    <w:p>
      <w:pPr>
        <w:pStyle w:val="CaptionedFigure"/>
      </w:pPr>
      <w:r>
        <w:drawing>
          <wp:inline>
            <wp:extent cx="5334000" cy="5334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no-annota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2022-08-18T17:01:26Z</dcterms:created>
  <dcterms:modified xsi:type="dcterms:W3CDTF">2022-08-18T17:01:26Z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