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82.png" ContentType="image/png"/>
  <Override PartName="/word/media/rId85.png" ContentType="image/png"/>
  <Override PartName="/word/media/rId49.png" ContentType="image/png"/>
  <Override PartName="/word/media/rId46.png" ContentType="image/png"/>
  <Override PartName="/word/media/rId55.png" ContentType="image/png"/>
  <Override PartName="/word/media/rId52.png" ContentType="image/png"/>
  <Override PartName="/word/media/rId63.png" ContentType="image/png"/>
  <Override PartName="/word/media/rId60.png" ContentType="image/png"/>
  <Override PartName="/word/media/rId72.png" ContentType="image/png"/>
  <Override PartName="/word/media/rId36.png" ContentType="image/png"/>
  <Override PartName="/word/media/rId68.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prospective</w:t>
      </w:r>
      <w:r>
        <w:t xml:space="preserve"> </w:t>
      </w:r>
      <w:r>
        <w:t xml:space="preserve">and</w:t>
      </w:r>
      <w:r>
        <w:t xml:space="preserve"> </w:t>
      </w:r>
      <w:r>
        <w:t xml:space="preserve">retrospective</w:t>
      </w:r>
      <w:r>
        <w:t xml:space="preserve"> </w:t>
      </w:r>
      <w:r>
        <w:t xml:space="preserve">analyses</w:t>
      </w:r>
    </w:p>
    <w:bookmarkStart w:id="20" w:name="abstract"/>
    <w:p>
      <w:pPr>
        <w:pStyle w:val="Heading1"/>
      </w:pPr>
      <w:r>
        <w:t xml:space="preserve">Abstract</w:t>
      </w:r>
    </w:p>
    <w:p>
      <w:pPr>
        <w:pStyle w:val="FirstParagraph"/>
      </w:pPr>
      <w:r>
        <w:t xml:space="preserve">Crop bio-physiological characteristics and management requirements can affect weed populations’ dynamics differently. One way to examine such differences is to track changes in common waterhemp populations concerning the applied crop management using periodic matrices. We used a chain of six periodic matrices in each of nine crop environments crossed with two corn weed management regimes to project population trajectories in two scenarios of plant fecundity, representing two levels of control efficacy (high and low). Each crop environment identifies a crop species (corn, soybean, oat, or alfalfa) in a rotation (2-year, 3-year, or 4-year). Only corn and soybean received chemical herbicide. Both literature and empirically measured data were used. The crop sequences in the 2-year, 3-year, and 4-year rotations are corn - soybean; corn - soybean - oat intercropped with red clover; and corn - soybean - oat intercropped with alfalfa - alfalfa. Under the high control efficacy scenario, all the waterhemp population size declined at the annualized rate of</w:t>
      </w:r>
      <w:r>
        <w:t xml:space="preserve"> </w:t>
      </w:r>
      <m:oMath>
        <m:r>
          <m:t>λ</m:t>
        </m:r>
        <m:r>
          <m:rPr>
            <m:sty m:val="p"/>
          </m:rPr>
          <m:t>=</m:t>
        </m:r>
        <m:r>
          <m:t>0.5</m:t>
        </m:r>
      </m:oMath>
      <w:r>
        <w:t xml:space="preserve">. Under the low control efficacy scenario, waterhemp population sizes increased the fastest in the 2-year rotation (</w:t>
      </w:r>
      <m:oMath>
        <m:r>
          <m:t>λ</m:t>
        </m:r>
        <m:r>
          <m:rPr>
            <m:sty m:val="p"/>
          </m:rPr>
          <m:t>=</m:t>
        </m:r>
        <m:r>
          <m:t>75</m:t>
        </m:r>
      </m:oMath>
      <w:r>
        <w:t xml:space="preserve"> </w:t>
      </w:r>
      <w:r>
        <w:t xml:space="preserve">to</w:t>
      </w:r>
      <w:r>
        <w:t xml:space="preserve"> </w:t>
      </w:r>
      <m:oMath>
        <m:r>
          <m:t>λ</m:t>
        </m:r>
        <m:r>
          <m:rPr>
            <m:sty m:val="p"/>
          </m:rPr>
          <m:t>=</m:t>
        </m:r>
        <m:r>
          <m:t>123</m:t>
        </m:r>
      </m:oMath>
      <w:r>
        <w:t xml:space="preserve">) and the slowest in the 4-year rotation (</w:t>
      </w:r>
      <m:oMath>
        <m:r>
          <m:t>λ</m:t>
        </m:r>
        <m:r>
          <m:rPr>
            <m:sty m:val="p"/>
          </m:rPr>
          <m:t>=</m:t>
        </m:r>
        <m:r>
          <m:t>4</m:t>
        </m:r>
      </m:oMath>
      <w:r>
        <w:t xml:space="preserve"> </w:t>
      </w:r>
      <w:r>
        <w:t xml:space="preserve">to</w:t>
      </w:r>
      <w:r>
        <w:t xml:space="preserve"> </w:t>
      </w:r>
      <m:oMath>
        <m:r>
          <m:t>λ</m:t>
        </m:r>
        <m:r>
          <m:rPr>
            <m:sty m:val="p"/>
          </m:rPr>
          <m:t>=</m:t>
        </m:r>
        <m:r>
          <m:t>8</m:t>
        </m:r>
      </m:oMath>
      <w:r>
        <w:t xml:space="preserve">). The slower rates of population growth in the more diverse rotation were attributed to declining</w:t>
      </w:r>
      <w:r>
        <w:t xml:space="preserve"> </w:t>
      </w:r>
      <m:oMath>
        <m:r>
          <m:t>λ</m:t>
        </m:r>
      </m:oMath>
      <w:r>
        <w:t xml:space="preserve"> </w:t>
      </w:r>
      <w:r>
        <w:t xml:space="preserve">in the oat, red clover, and alfalfa crop environments that are cool-season crops. In addition to population projection, we examined the seed production thresholds in the three rotations for stabilizing population size. The 4-year rotation can tolerate higher seed production thresholds than the 2-year rotation.</w:t>
      </w:r>
    </w:p>
    <w:bookmarkEnd w:id="20"/>
    <w:bookmarkStart w:id="21" w:name="introduction"/>
    <w:p>
      <w:pPr>
        <w:pStyle w:val="Heading1"/>
      </w:pPr>
      <w:r>
        <w:t xml:space="preserve">Introduction</w:t>
      </w:r>
    </w:p>
    <w:p>
      <w:pPr>
        <w:pStyle w:val="FirstParagraph"/>
      </w:pPr>
      <w:r>
        <w:t xml:space="preserve">In arable land, a low-density weed seedbank is highly desired. A weed species’ seedbank persistence is often influenced by multiple factors, including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w:t>
      </w:r>
      <w:r>
        <w:t xml:space="preserve"> </w:t>
      </w:r>
      <w:r>
        <w:t xml:space="preserve">(Heneghan and Johnson, 2017)</w:t>
      </w:r>
      <w:r>
        <w:t xml:space="preserve">,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abundant seedbank</w:t>
      </w:r>
      <w:r>
        <w:t xml:space="preserve"> </w:t>
      </w:r>
      <w:r>
        <w:t xml:space="preserve">(Davis, 2008; Korres et al., 2018)</w:t>
      </w:r>
      <w:r>
        <w:t xml:space="preserve">.</w:t>
      </w:r>
    </w:p>
    <w:p>
      <w:pPr>
        <w:pStyle w:val="BodyText"/>
      </w:pPr>
      <w:r>
        <w:t xml:space="preserve">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w:t>
      </w:r>
      <w:r>
        <w:t xml:space="preserve"> </w:t>
      </w:r>
      <w:r>
        <w:t xml:space="preserve">(Caswell, 2001)</w:t>
      </w:r>
      <w:r>
        <w:t xml:space="preserve">. Combining demographic parameters from multiple sources and organizing them in different scenarios can facilitate the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giant foxtail (</w:t>
      </w:r>
      <w:r>
        <w:rPr>
          <w:iCs/>
          <w:i/>
        </w:rPr>
        <w:t xml:space="preserve">Setaria faberi</w:t>
      </w:r>
      <w:r>
        <w:t xml:space="preserve"> </w:t>
      </w:r>
      <w:r>
        <w:t xml:space="preserve">Herrm ) seedling emergence as compared with three other interseeding and tillage timing combinations by fall tillage</w:t>
      </w:r>
      <w:r>
        <w:t xml:space="preserve"> </w:t>
      </w:r>
      <w:r>
        <w:t xml:space="preserve">(Davis and Liebman, 2003)</w:t>
      </w:r>
      <w:r>
        <w:t xml:space="preserve">. Cool-season crops, such as oat (</w:t>
      </w:r>
      <w:r>
        <w:rPr>
          <w:iCs/>
          <w:i/>
        </w:rPr>
        <w:t xml:space="preserve">Avena sativa</w:t>
      </w:r>
      <w:r>
        <w:t xml:space="preserve"> </w:t>
      </w:r>
      <w:r>
        <w:t xml:space="preserve">L.), red clover can be planted early spring, and alfalfa (</w:t>
      </w:r>
      <w:r>
        <w:rPr>
          <w:iCs/>
          <w:i/>
        </w:rPr>
        <w:t xml:space="preserve">Medicago sativa</w:t>
      </w:r>
      <w:r>
        <w:t xml:space="preserve"> </w:t>
      </w:r>
      <w:r>
        <w:t xml:space="preserve">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w:t>
      </w:r>
      <w:r>
        <w:t xml:space="preserve"> </w:t>
      </w:r>
      <w:r>
        <w:t xml:space="preserve">(Nguyen and Liebman, 2022a)</w:t>
      </w:r>
      <w:r>
        <w:t xml:space="preserve">, soil seedbank density, the timing of seedling emergence and resultant densities, and plant survival.</w:t>
      </w:r>
    </w:p>
    <w:p>
      <w:pPr>
        <w:pStyle w:val="BodyText"/>
      </w:pPr>
      <w:r>
        <w:t xml:space="preserve">Extending a conventional 2-year rotation of corn and soybean to contain oat, red clover, and alfalfa effectively maintained a weed community at a level of abundance that did not coincidence with reduction in crop yields</w:t>
      </w:r>
      <w:r>
        <w:t xml:space="preserve"> </w:t>
      </w:r>
      <w:r>
        <w:t xml:space="preserve">(Nguyen and Liebman, 2022b)</w:t>
      </w:r>
      <w:r>
        <w:t xml:space="preserve">. The effects of cropping system diversification on common waterhemp abundance were not clearly defined</w:t>
      </w:r>
      <w:r>
        <w:t xml:space="preserve"> </w:t>
      </w:r>
      <w:r>
        <w:t xml:space="preserve">(Nguyen and Liebman, 2022b)</w:t>
      </w:r>
      <w:r>
        <w:t xml:space="preserve">, even though waterhemp’s reproductive potentials could be reduced without heavy reliance on herbicides</w:t>
      </w:r>
      <w:r>
        <w:t xml:space="preserve"> </w:t>
      </w:r>
      <w:r>
        <w:t xml:space="preserve">(Nguyen and Liebman, 2022a)</w:t>
      </w:r>
      <w:r>
        <w:t xml:space="preserve">. A heuristic model for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a rye (</w:t>
      </w:r>
      <w:r>
        <w:rPr>
          <w:iCs/>
          <w:i/>
        </w:rPr>
        <w:t xml:space="preserve">Secale cereale</w:t>
      </w:r>
      <w:r>
        <w:t xml:space="preserve"> </w:t>
      </w:r>
      <w:r>
        <w:t xml:space="preserve">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w:t>
      </w:r>
      <w:r>
        <w:t xml:space="preserve"> </w:t>
      </w:r>
      <w:r>
        <w:t xml:space="preserve">(Caswell, 2001; Davis, 2002; Ullrich, 2000)</w:t>
      </w:r>
      <w:r>
        <w:t xml:space="preserve">. In addition, we employed a retrospective perturbation analysis to examine how waterhemp population dynamics would change if life history parameters at different points throughout the species’ life cycle were altered.</w:t>
      </w:r>
    </w:p>
    <w:p>
      <w:pPr>
        <w:pStyle w:val="BodyText"/>
      </w:pPr>
      <w:r>
        <w:t xml:space="preserve">We employed a periodic matrix model</w:t>
      </w:r>
      <w:r>
        <w:t xml:space="preserve"> </w:t>
      </w:r>
      <w:r>
        <w:t xml:space="preserve">(Caswell, 2001; Cousens and Mortimer, 1995)</w:t>
      </w:r>
      <w:r>
        <w:t xml:space="preserve"> </w:t>
      </w:r>
      <w:r>
        <w:t xml:space="preserve">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our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from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 </w:t>
      </w:r>
      <w:r>
        <w:t xml:space="preserve">(</w:t>
      </w:r>
      <m:oMath>
        <m:r>
          <m:t>Δ</m:t>
        </m:r>
        <m:r>
          <m:t>λ</m:t>
        </m:r>
      </m:oMath>
      <w:r>
        <w:t xml:space="preserve">) would respond to proportional perturbations in the lower-level demographic parameters (represented by the sub-annual matrix</w:t>
      </w:r>
      <w:r>
        <w:t xml:space="preserve"> </w:t>
      </w:r>
      <m:oMath>
        <m:sSub>
          <m:e>
            <m:r>
              <m:t>B</m:t>
            </m:r>
          </m:e>
          <m:sub>
            <m:r>
              <m:t>h</m:t>
            </m:r>
          </m:sub>
        </m:sSub>
      </m:oMath>
      <w:r>
        <w:t xml:space="preserve"> </w:t>
      </w:r>
      <w:r>
        <w:t xml:space="preserve">that described the sub-annual responses of the population to weed management practices), can help in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examined how waterhemp population dynamics might changes in cool-season crops suitable for the Midwestern USA climates, such as oat, red clover, and alfalfa. The modeling approach here combines demographic parameters from the literature as well as with empirical data from our own field work. We hypothesized that extending a conventional 2-year rotation of corn and soybean with cool-season crops could accelerate depletion of waterhemp seedbanks in the soil.</w:t>
      </w:r>
    </w:p>
    <w:bookmarkEnd w:id="21"/>
    <w:bookmarkStart w:id="35" w:name="materials-and-methods"/>
    <w:p>
      <w:pPr>
        <w:pStyle w:val="Heading1"/>
      </w:pPr>
      <w:r>
        <w:t xml:space="preserve">Materials and methods</w:t>
      </w:r>
    </w:p>
    <w:bookmarkStart w:id="22" w:name="experiment-design"/>
    <w:p>
      <w:pPr>
        <w:pStyle w:val="Heading3"/>
      </w:pPr>
      <w:r>
        <w:t xml:space="preserve">Experiment design</w:t>
      </w:r>
    </w:p>
    <w:p>
      <w:pPr>
        <w:pStyle w:val="FirstParagraph"/>
      </w:pPr>
      <w: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 The rotation systems used in this study included a 2-year (corn-soybean) rotation, a 3-year (corn - soybean - oat (</w:t>
      </w:r>
      <w:r>
        <w:rPr>
          <w:iCs/>
          <w:i/>
        </w:rPr>
        <w:t xml:space="preserve">Avena sativa</w:t>
      </w:r>
      <w:r>
        <w:t xml:space="preserve"> </w:t>
      </w:r>
      <w:r>
        <w:t xml:space="preserve">L.)) intercropped with red clover (</w:t>
      </w:r>
      <w:r>
        <w:rPr>
          <w:iCs/>
          <w:i/>
        </w:rPr>
        <w:t xml:space="preserve">Trifolium pratense</w:t>
      </w:r>
      <w:r>
        <w:t xml:space="preserve"> </w:t>
      </w:r>
      <w:r>
        <w:t xml:space="preserve">L.) rotation, and a 4-year (corn - soybean - oat intercropped with alfalfa (</w:t>
      </w:r>
      <w:r>
        <w:rPr>
          <w:iCs/>
          <w:i/>
        </w:rPr>
        <w:t xml:space="preserve">Medicago sativa</w:t>
      </w:r>
      <w:r>
        <w:t xml:space="preserve"> </w:t>
      </w:r>
      <w:r>
        <w:t xml:space="preserve">L.) - alfalfa] rotation. There were four replications of each crop identity x herbicide regime combination. Field plots were located at the Iowa State University Agricultural Engineering and Agronomy Research Farm in Boone County, Iowa, USA.</w:t>
      </w:r>
    </w:p>
    <w:p>
      <w:pPr>
        <w:pStyle w:val="BodyText"/>
      </w:pPr>
      <w:r>
        <w:t xml:space="preserve">The general experiment design and diagram were provided by</w:t>
      </w:r>
      <w:r>
        <w:t xml:space="preserve"> </w:t>
      </w:r>
      <w:r>
        <w:t xml:space="preserve">Nguyen and Liebman (2022a)</w:t>
      </w:r>
      <w:r>
        <w:t xml:space="preserve">, but an updated diagram (Figure</w:t>
      </w:r>
      <w:r>
        <w:t xml:space="preserve"> </w:t>
      </w:r>
      <w:r>
        <w:t xml:space="preserve">1</w:t>
      </w:r>
      <w:r>
        <w:t xml:space="preserve">) includes tillage regimes used for each treatment. Contrasting herbicide regimes were used for corn at the experiment site from 2008 through 2020; soybean plots in the contrasting weed management regimes were treated with different herbicides during 2008-2016, but with the same herbicide regime in 2017-2020. During the period of the present study, data were collected in each experimental unit (eu) to accommodate the different weed management programs used in the corn phase of all crop rotations.</w:t>
      </w:r>
    </w:p>
    <w:p>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the O3 treatment and alfalfa in the A4 treatment were terminated in the winter before growing corn in the following year, so the dark green bar in the 3-year rotation represents volunteer red clover and the light green bar in the 4-year rotation represents the living alfalfa residue in the C4 treatment.</w:t>
      </w:r>
    </w:p>
    <w:bookmarkEnd w:id="22"/>
    <w:bookmarkStart w:id="26" w:name="data-collection-and-analysis"/>
    <w:p>
      <w:pPr>
        <w:pStyle w:val="Heading3"/>
      </w:pPr>
      <w:r>
        <w:t xml:space="preserve">Data collection and analysis</w:t>
      </w:r>
    </w:p>
    <w:p>
      <w:pPr>
        <w:pStyle w:val="FirstParagraph"/>
      </w:pPr>
      <w:r>
        <w:t xml:space="preserve">The current demographic information presented here is only for female waterhemp seeds and plants because: 1) waterhemp is a dioecious species with 1:1 sex ratio</w:t>
      </w:r>
      <w:r>
        <w:t xml:space="preserve"> </w:t>
      </w:r>
      <w:r>
        <w:t xml:space="preserve">(Costea et al., 2005; Montgomery et al., 2021; Montgomery et al., 2019)</w:t>
      </w:r>
      <w:r>
        <w:t xml:space="preserve">, 2) only female individuals are bearing seeds</w:t>
      </w:r>
      <w:r>
        <w:t xml:space="preserve"> </w:t>
      </w:r>
      <w:r>
        <w:t xml:space="preserve">(Costea et al., 2005)</w:t>
      </w:r>
      <w:r>
        <w:t xml:space="preserve">, and 3) pollen grains are abundantly available during reproduction</w:t>
      </w:r>
      <w:r>
        <w:t xml:space="preserve"> </w:t>
      </w:r>
      <w:r>
        <w:t xml:space="preserve">(Liu et al., 2012)</w:t>
      </w:r>
      <w:r>
        <w:t xml:space="preserve">. All plant characteristics were reported for each cohort and seedbank densities were reported for two soil strata: 0 - 2 cm and 2 - 20 cm.</w:t>
      </w:r>
    </w:p>
    <w:bookmarkStart w:id="23" w:name="Xa1c85300dfe06e14afaf988e432713c859ec4d5"/>
    <w:p>
      <w:pPr>
        <w:pStyle w:val="Heading4"/>
      </w:pPr>
      <w:r>
        <w:t xml:space="preserve">Seed densities and seed fates in the soil seedbank</w:t>
      </w:r>
    </w:p>
    <w:p>
      <w:pPr>
        <w:pStyle w:val="FirstParagraph"/>
      </w:pPr>
      <w:r>
        <w:t xml:space="preserve">Nine groups of four 20-cm deep soil cores arranged in a 3 x 3 grid were collected in the fall of 2019 from each experimental unit (eu). Each soil core was cut into two sections, the top 2 cm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r>
        <w:t xml:space="preserve"> </w:t>
      </w:r>
      <w:r>
        <w:t xml:space="preserve">(</w:t>
      </w:r>
      <w:r>
        <w:rPr>
          <w:bCs/>
          <w:b/>
        </w:rPr>
        <w:t xml:space="preserve">ballComparisonTechniquesEstimation?</w:t>
      </w:r>
      <w:r>
        <w:t xml:space="preserve">)</w:t>
      </w:r>
      <w:r>
        <w:t xml:space="preserve">. Clean seeds were placed on germination paper imbibed with distilled water in Petri dishes and incubated in 28/18 degree Celsius light/dark - 18/8 hour night/day for five days. Proportions of seeds that were dormant, readily germinable, and dead were recorded: germinated as readily germinable; firm and unyielding to forceps pressure as dormant; and yielding to forceps pressure as dead (Borza et al., 2007). Readily germinable and dormant seeds were grouped as viable and used to calculate emergence proportion (details on how the 2019 fall soil seedbank sample was used with data for 2020 seedling emergence to determine the emergence proportion is provided in the</w:t>
      </w:r>
      <w:r>
        <w:t xml:space="preserve"> </w:t>
      </w:r>
      <w:r>
        <w:rPr>
          <w:iCs/>
          <w:i/>
        </w:rPr>
        <w:t xml:space="preserve">Parameterization</w:t>
      </w:r>
      <w:r>
        <w:t xml:space="preserve"> </w:t>
      </w:r>
      <w:r>
        <w:t xml:space="preserve">section).</w:t>
      </w:r>
    </w:p>
    <w:bookmarkEnd w:id="23"/>
    <w:bookmarkStart w:id="24" w:name="seedling-emergence-pattern-and-timing"/>
    <w:p>
      <w:pPr>
        <w:pStyle w:val="Heading4"/>
      </w:pPr>
      <w:r>
        <w:t xml:space="preserve">Seedling emergence pattern and timing</w:t>
      </w:r>
    </w:p>
    <w:p>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pPr>
        <w:pStyle w:val="BodyText"/>
      </w:pPr>
      <w:r>
        <w:t xml:space="preserve">The number of seedlings in each cohort was converted to densities (seedlings/m</w:t>
      </w:r>
      <m:oMath>
        <m:sSup>
          <m:e>
            <m:r>
              <m:t>​</m:t>
            </m:r>
          </m:e>
          <m:sup>
            <m:r>
              <m:t>2</m:t>
            </m:r>
          </m:sup>
        </m:sSup>
      </m:oMath>
      <w:r>
        <w:t xml:space="preserve">). The dates of first emergence detection in a crop identity were noted as the date that cohort 1 emerged in that crop identity. The estimated seedling emergence rates (</w:t>
      </w:r>
      <m:oMath>
        <m:f>
          <m:fPr>
            <m:type m:val="bar"/>
          </m:fPr>
          <m:num>
            <m:r>
              <m:t>S</m:t>
            </m:r>
            <m:r>
              <m:t>e</m:t>
            </m:r>
            <m:r>
              <m:t>e</m:t>
            </m:r>
            <m:r>
              <m:t>d</m:t>
            </m:r>
            <m:r>
              <m:t>l</m:t>
            </m:r>
            <m:r>
              <m:t>i</m:t>
            </m:r>
            <m:r>
              <m:t>n</m:t>
            </m:r>
            <m:r>
              <m:t>g</m:t>
            </m:r>
            <m:r>
              <m:t> </m:t>
            </m:r>
            <m:r>
              <m:t>d</m:t>
            </m:r>
            <m:r>
              <m:t>e</m:t>
            </m:r>
            <m:r>
              <m:t>n</m:t>
            </m:r>
            <m:r>
              <m:t>s</m:t>
            </m:r>
            <m:r>
              <m:t>i</m:t>
            </m:r>
            <m:r>
              <m:t>t</m:t>
            </m:r>
            <m:r>
              <m:t>y</m:t>
            </m:r>
          </m:num>
          <m:den>
            <m:r>
              <m:t>T</m:t>
            </m:r>
            <m:r>
              <m:t>o</m:t>
            </m:r>
            <m:r>
              <m:t>p</m:t>
            </m:r>
            <m:r>
              <m:t> </m:t>
            </m:r>
            <m:r>
              <m:t>s</m:t>
            </m:r>
            <m:r>
              <m:t>o</m:t>
            </m:r>
            <m:r>
              <m:t>i</m:t>
            </m:r>
            <m:r>
              <m:t>l</m:t>
            </m:r>
            <m:r>
              <m:t> </m:t>
            </m:r>
            <m:r>
              <m:t>s</m:t>
            </m:r>
            <m:r>
              <m:t>t</m:t>
            </m:r>
            <m:r>
              <m:t>r</m:t>
            </m:r>
            <m:r>
              <m:t>a</m:t>
            </m:r>
            <m:r>
              <m:t>t</m:t>
            </m:r>
            <m:r>
              <m:t>u</m:t>
            </m:r>
            <m:r>
              <m:t>m</m:t>
            </m:r>
            <m:r>
              <m:t> </m:t>
            </m:r>
            <m:r>
              <m:t>d</m:t>
            </m:r>
            <m:r>
              <m:t>e</m:t>
            </m:r>
            <m:r>
              <m:t>n</m:t>
            </m:r>
            <m:r>
              <m:t>s</m:t>
            </m:r>
            <m:r>
              <m:t>i</m:t>
            </m:r>
            <m:r>
              <m:t>t</m:t>
            </m:r>
            <m:r>
              <m:t>y</m:t>
            </m:r>
          </m:den>
        </m:f>
      </m:oMath>
      <w:r>
        <w:t xml:space="preserve">) were unrealistically low as compared to the results of</w:t>
      </w:r>
      <w:r>
        <w:t xml:space="preserve"> </w:t>
      </w:r>
      <w:r>
        <w:t xml:space="preserve">Schutte and Davis (2014)</w:t>
      </w:r>
      <w:r>
        <w:t xml:space="preserve"> </w:t>
      </w:r>
      <w:r>
        <w:t xml:space="preserve">and</w:t>
      </w:r>
      <w:r>
        <w:t xml:space="preserve"> </w:t>
      </w:r>
      <w:r>
        <w:t xml:space="preserve">Buhler and Hartzler (2001)</w:t>
      </w:r>
      <w:r>
        <w:t xml:space="preserve"> </w:t>
      </w:r>
      <w:r>
        <w:t xml:space="preserve">so we adjusted the estimation to reflect higher emergence rate based on 20% germination rate (Appendix B). We used 20% emergence rate following</w:t>
      </w:r>
      <w:r>
        <w:t xml:space="preserve"> </w:t>
      </w:r>
      <w:r>
        <w:t xml:space="preserve">Schutte and Davis (2014)</w:t>
      </w:r>
      <w:r>
        <w:t xml:space="preserve">’s results because their investigation comprised of 129 waterhemp populations.</w:t>
      </w:r>
    </w:p>
    <w:bookmarkEnd w:id="24"/>
    <w:bookmarkStart w:id="25"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mixed-effect models, in which crop identity (crop species in each rotation) was the main-plot effect, corn weed management was the split-plot effect, and cohort identity was the covariance. The response variables were transformed as needed to correct heteroscedasticity.</w:t>
      </w:r>
    </w:p>
    <w:p>
      <w:pPr>
        <w:pStyle w:val="BodyText"/>
      </w:pPr>
      <w:r>
        <w:t xml:space="preserve">For the emergence timing evaluation, a two-factorial model with crop species, instead of crop identity, being the main-plot factor and the corn weed management being the split-plot factor was fitted on the Julian’s date of first emergence because of small sample size. We feel that a slight modification of statistical structure was acceptable because we were interested in the difference in waterhemp emergence in different crop species environments.</w:t>
      </w:r>
    </w:p>
    <w:bookmarkEnd w:id="25"/>
    <w:bookmarkEnd w:id="26"/>
    <w:bookmarkStart w:id="27"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2065"/>
        <w:gridCol w:w="20466"/>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References.or.justification</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individuals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euqal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seedlings only emerge from the 0 - 2 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Mohler and Galford, 2008</w:t>
            </w:r>
          </w:p>
        </w:tc>
      </w:tr>
      <w:tr>
        <w:trPr>
          <w:cantSplit/>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most likely fatal from the 2 - 20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Davis and Renner, 2007</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decay rate</w:t>
            </w:r>
          </w:p>
        </w:tc>
      </w:tr>
      <w:tr>
        <w:trPr>
          <w:cantSplit/>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different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Steckel et al., 2007 and Sosnoskie et al., 2013</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 (Nguyen and Liebman 2022b)</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crops for resources was expressed in multiple periods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crops was not measured</w:t>
            </w:r>
          </w:p>
        </w:tc>
      </w:tr>
      <w:tr>
        <w:trPr>
          <w:cantSplit/>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 species is excluded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excluded for simplicity of the model</w:t>
            </w:r>
          </w:p>
        </w:tc>
      </w:tr>
      <w:tr>
        <w:trPr>
          <w:cantSplit/>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included in the survival rate from seedling through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other weed species was not measured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is abundantly available to all female plants at reproductive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grains can remain viable for five days after dispersal (Liu et al., 2012) and the populations at the expriment site were close to sexual parity with abundant plant densities (Nguyen and Liebman, 2022b)</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male:female ratio can deviate from the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7"/>
    <w:bookmarkStart w:id="28"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r</m:t>
            </m:r>
          </m:sub>
        </m:sSub>
        <m:r>
          <m:t>w</m:t>
        </m:r>
      </m:oMath>
      <w:r>
        <w:t xml:space="preserve"> </w:t>
      </w:r>
      <w:r>
        <w:t xml:space="preserve">(r = 2, 3, or 4, corresponding to the number of crop phases in each rotation and w = conventional (conv) or low, corresponding to the weed management regime applied in the corn phase). Each set of annual projection matrices, corresponding to a crop environment,</w:t>
      </w:r>
      <w:r>
        <w:t xml:space="preserve"> </w:t>
      </w:r>
      <m:oMath>
        <m:sSub>
          <m:e>
            <m:r>
              <m:t>P</m:t>
            </m:r>
          </m:e>
          <m:sub>
            <m:r>
              <m:t>r</m:t>
            </m:r>
          </m:sub>
        </m:sSub>
      </m:oMath>
      <w:r>
        <w:t xml:space="preserve">, is the product of six sub-annual matrices,</w:t>
      </w:r>
      <w:r>
        <w:t xml:space="preserve"> </w:t>
      </w:r>
      <m:oMath>
        <m:sSub>
          <m:e>
            <m:r>
              <m:t>B</m:t>
            </m:r>
          </m:e>
          <m:sub>
            <m:r>
              <m:t>h</m:t>
            </m:r>
          </m:sub>
        </m:sSub>
      </m:oMath>
      <w:r>
        <w:t xml:space="preserve"> </w:t>
      </w:r>
      <w:r>
        <w:t xml:space="preserve">with</w:t>
      </w:r>
      <w:r>
        <w:t xml:space="preserve"> </w:t>
      </w:r>
      <m:oMath>
        <m:r>
          <m:t>h</m:t>
        </m:r>
        <m:r>
          <m:rPr>
            <m:sty m:val="p"/>
          </m:rPr>
          <m:t>=</m:t>
        </m:r>
        <m:r>
          <m:rPr>
            <m:sty m:val="p"/>
          </m:rPr>
          <m:t>{</m:t>
        </m:r>
        <m:r>
          <m:t>t</m:t>
        </m:r>
        <m:d>
          <m:dPr>
            <m:begChr m:val="("/>
            <m:endChr m:val=")"/>
            <m:sepChr m:val=""/>
            <m:grow/>
          </m:dPr>
          <m:e>
            <m:r>
              <m:t>s</m:t>
            </m:r>
          </m:e>
        </m:d>
        <m:r>
          <m:rPr>
            <m:sty m:val="p"/>
          </m:rPr>
          <m:t>,</m:t>
        </m:r>
        <m:r>
          <m:t>g</m:t>
        </m:r>
        <m:r>
          <m:rPr>
            <m:sty m:val="p"/>
          </m:rPr>
          <m:t>,</m:t>
        </m:r>
        <m:r>
          <m:t>s</m:t>
        </m:r>
        <m:r>
          <m:rPr>
            <m:sty m:val="p"/>
          </m:rPr>
          <m:t>,</m:t>
        </m:r>
        <m:r>
          <m:t>f</m:t>
        </m:r>
        <m:r>
          <m:rPr>
            <m:sty m:val="p"/>
          </m:rPr>
          <m:t>,</m:t>
        </m:r>
        <m:r>
          <m:t>t</m:t>
        </m:r>
        <m:d>
          <m:dPr>
            <m:begChr m:val="("/>
            <m:endChr m:val=")"/>
            <m:sepChr m:val=""/>
            <m:grow/>
          </m:dPr>
          <m:e>
            <m:r>
              <m:t>f</m:t>
            </m:r>
          </m:e>
        </m:d>
        <m:r>
          <m:rPr>
            <m:sty m:val="p"/>
          </m:rPr>
          <m:t>,</m:t>
        </m:r>
        <m:r>
          <m:t>o</m:t>
        </m:r>
        <m:r>
          <m:rPr>
            <m:sty m:val="p"/>
          </m:rPr>
          <m:t>}</m:t>
        </m:r>
      </m:oMath>
      <w:r>
        <w:t xml:space="preserve">. The six sub-annual matrices, in chronological order from spring to winter, are pre-planting tillage induced seed vertical movement (</w:t>
      </w:r>
      <m:oMath>
        <m:sSub>
          <m:e>
            <m:r>
              <m:t>B</m:t>
            </m:r>
          </m:e>
          <m:sub>
            <m:r>
              <m:t>t</m:t>
            </m:r>
            <m:d>
              <m:dPr>
                <m:begChr m:val="("/>
                <m:endChr m:val=")"/>
                <m:sepChr m:val=""/>
                <m:grow/>
              </m:dPr>
              <m:e>
                <m:r>
                  <m:t>s</m:t>
                </m:r>
              </m:e>
            </m:d>
          </m:sub>
        </m:sSub>
      </m:oMath>
      <w:r>
        <w:t xml:space="preserve">), emergence (</w:t>
      </w:r>
      <m:oMath>
        <m:sSub>
          <m:e>
            <m:r>
              <m:t>B</m:t>
            </m:r>
          </m:e>
          <m:sub>
            <m:r>
              <m:t>g</m:t>
            </m:r>
          </m:sub>
        </m:sSub>
      </m:oMath>
      <w:r>
        <w:t xml:space="preserve">), summer seed and seedling survival (</w:t>
      </w:r>
      <m:oMath>
        <m:sSub>
          <m:e>
            <m:r>
              <m:t>B</m:t>
            </m:r>
          </m:e>
          <m:sub>
            <m:r>
              <m:t>s</m:t>
            </m:r>
          </m:sub>
        </m:sSub>
      </m:oMath>
      <w:r>
        <w:t xml:space="preserve">), fecundity (</w:t>
      </w:r>
      <m:oMath>
        <m:sSub>
          <m:e>
            <m:r>
              <m:t>B</m:t>
            </m:r>
          </m:e>
          <m:sub>
            <m:r>
              <m:t>f</m:t>
            </m:r>
          </m:sub>
        </m:sSub>
      </m:oMath>
      <w:r>
        <w:t xml:space="preserve">), post-harvest tillage induced seed vertical movement (</w:t>
      </w:r>
      <m:oMath>
        <m:sSub>
          <m:e>
            <m:r>
              <m:t>B</m:t>
            </m:r>
          </m:e>
          <m:sub>
            <m:r>
              <m:t>t</m:t>
            </m:r>
            <m:d>
              <m:dPr>
                <m:begChr m:val="("/>
                <m:endChr m:val=")"/>
                <m:sepChr m:val=""/>
                <m:grow/>
              </m:dPr>
              <m:e>
                <m:r>
                  <m:t>f</m:t>
                </m:r>
              </m:e>
            </m:d>
          </m:sub>
        </m:sSub>
      </m:oMath>
      <w:r>
        <w:t xml:space="preserve">), and overwinter seed survival (</w:t>
      </w:r>
      <m:oMath>
        <m:sSub>
          <m:e>
            <m:r>
              <m:t>B</m:t>
            </m:r>
          </m:e>
          <m:sub>
            <m:r>
              <m:t>o</m:t>
            </m:r>
          </m:sub>
        </m:sSub>
      </m:oMath>
      <w:r>
        <w:t xml:space="preserve">).</w:t>
      </w:r>
    </w:p>
    <w:p>
      <w:pPr>
        <w:pStyle w:val="BodyText"/>
      </w:pPr>
      <w:r>
        <w:t xml:space="preserve">Any transition matrix (periodic sub-annual, (</w:t>
      </w:r>
      <m:oMath>
        <m:sSub>
          <m:e>
            <m:r>
              <m:t>B</m:t>
            </m:r>
          </m:e>
          <m:sub>
            <m:r>
              <m:t>h</m:t>
            </m:r>
          </m:sub>
        </m:sSub>
      </m:oMath>
      <w:r>
        <w:t xml:space="preserve">), annual, (</w:t>
      </w:r>
      <m:oMath>
        <m:sSub>
          <m:e>
            <m:r>
              <m:t>A</m:t>
            </m:r>
          </m:e>
          <m:sub>
            <m:r>
              <m:t>r</m:t>
            </m:r>
          </m:sub>
        </m:sSub>
      </m:oMath>
      <w:r>
        <w:t xml:space="preserve">), or rotational, (</w:t>
      </w:r>
      <m:oMath>
        <m:sSub>
          <m:e>
            <m:r>
              <m:t>P</m:t>
            </m:r>
          </m:e>
          <m:sub>
            <m:r>
              <m:t>r</m:t>
            </m:r>
          </m:sub>
        </m:sSub>
      </m:oMath>
      <w:r>
        <w:t xml:space="preserve">)), is of eight rows by eight columns (8 x 8) and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The compilation of each</w:t>
      </w:r>
      <w:r>
        <w:t xml:space="preserve"> </w:t>
      </w:r>
      <m:oMath>
        <m:sSub>
          <m:e>
            <m:r>
              <m:t>B</m:t>
            </m:r>
          </m:e>
          <m:sub>
            <m:r>
              <m:t>h</m:t>
            </m:r>
          </m:sub>
        </m:sSub>
      </m:oMath>
      <w:r>
        <w:t xml:space="preserve"> </w:t>
      </w:r>
      <w:r>
        <w:t xml:space="preserve">matrix, from the published literature, empirical measurement, or both sources of parameters are detailed in the</w:t>
      </w:r>
      <w:r>
        <w:t xml:space="preserve"> </w:t>
      </w:r>
      <w:r>
        <w:rPr>
          <w:iCs/>
          <w:i/>
        </w:rPr>
        <w:t xml:space="preserve">Parameterization</w:t>
      </w:r>
      <w:r>
        <w:t xml:space="preserve"> </w:t>
      </w:r>
      <w:r>
        <w:t xml:space="preserve">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8"/>
    <w:bookmarkStart w:id="29" w:name="parameterization"/>
    <w:p>
      <w:pPr>
        <w:pStyle w:val="Heading3"/>
      </w:pPr>
      <w:r>
        <w:t xml:space="preserve">Parameterization</w:t>
      </w:r>
    </w:p>
    <w:p>
      <w:pPr>
        <w:pStyle w:val="FirstParagraph"/>
      </w:pPr>
      <w:r>
        <w:t xml:space="preserve">Waterhemp plant size is highly variable, and thus, the individual plant fecundity is highly variable. For example, the dried weight of the smallest recorded waterhemp at our experiment did not register on a four-digit scientific scale whereas the dried weight of the largest plant was about 1 kilogram (data not shown). The control efficacy of the applied weed management programs on waterhemp is therefore more informatively reflected by fecundity (seeds/plant) or seed production (seeds/m</w:t>
      </w:r>
      <m:oMath>
        <m:sSup>
          <m:e>
            <m:r>
              <m:t>​</m:t>
            </m:r>
          </m:e>
          <m:sup>
            <m:r>
              <m:t>2</m:t>
            </m:r>
          </m:sup>
        </m:sSup>
      </m:oMath>
      <w:r>
        <w:t xml:space="preserve">) than plant density.</w:t>
      </w:r>
    </w:p>
    <w:p>
      <w:pPr>
        <w:pStyle w:val="BodyText"/>
      </w:pPr>
      <w:r>
        <w:t xml:space="preserve">To accommodate the elasticity of plant size, two scenarios of population dynamics presented in this manuscript were distinguished by plant fecundity to examine the impact of different control efficacy on population dynamics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is delayed (Table</w:t>
      </w:r>
      <w:r>
        <w:t xml:space="preserve"> </w:t>
      </w:r>
      <w:r>
        <w:t xml:space="preserve">1</w:t>
      </w:r>
      <w:r>
        <w:t xml:space="preserve">). All the parameters were calculated for a female-only population because only female plants bear seeds. Consequently, the modeled population size reflected half of the population size in reality. The seedbank densities of the whole population (male and female) from 2014 through 2019 were shown in Figure</w:t>
      </w:r>
      <w:r>
        <w:t xml:space="preserve"> </w:t>
      </w:r>
      <w:r>
        <w:t xml:space="preserve">10</w:t>
      </w:r>
      <w:r>
        <w:t xml:space="preserve">.</w:t>
      </w:r>
    </w:p>
    <w:p>
      <w:pPr>
        <w:pStyle w:val="BodyText"/>
      </w:pPr>
      <w:r>
        <w:t xml:space="preserve">The lower-level demographic parameters are demographic parameters at each sub-annual period,</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eight columns of a</w:t>
      </w:r>
      <w:r>
        <w:t xml:space="preserve"> </w:t>
      </w:r>
      <m:oMath>
        <m:sSub>
          <m:e>
            <m:r>
              <m:t>B</m:t>
            </m:r>
          </m:e>
          <m:sub>
            <m:r>
              <m:t>h</m:t>
            </m:r>
          </m:sub>
        </m:sSub>
      </m:oMath>
      <w:r>
        <w:t xml:space="preserve"> </w:t>
      </w:r>
      <w:r>
        <w:t xml:space="preserve">matrix are named as</w:t>
      </w:r>
      <w:r>
        <w:t xml:space="preserve"> </w:t>
      </w:r>
      <w:r>
        <w:rPr>
          <w:rStyle w:val="VerbatimChar"/>
        </w:rPr>
        <w:t xml:space="preserve">s_t</w:t>
      </w:r>
      <w:r>
        <w:t xml:space="preserve">,</w:t>
      </w:r>
      <w:r>
        <w:t xml:space="preserve"> </w:t>
      </w:r>
      <w:r>
        <w:rPr>
          <w:rStyle w:val="VerbatimChar"/>
        </w:rPr>
        <w:t xml:space="preserve">s_b</w:t>
      </w:r>
      <w:r>
        <w:t xml:space="preserve">,</w:t>
      </w:r>
      <w:r>
        <w:t xml:space="preserve"> </w:t>
      </w:r>
      <w:r>
        <w:rPr>
          <w:rStyle w:val="VerbatimChar"/>
        </w:rPr>
        <w:t xml:space="preserve">pt_co_1</w:t>
      </w:r>
      <w:r>
        <w:t xml:space="preserve">, …,</w:t>
      </w:r>
      <w:r>
        <w:t xml:space="preserve"> </w:t>
      </w:r>
      <w:r>
        <w:rPr>
          <w:rStyle w:val="VerbatimChar"/>
        </w:rPr>
        <w:t xml:space="preserve">p_co_6</w:t>
      </w:r>
      <w:r>
        <w:t xml:space="preserve">. The columns</w:t>
      </w:r>
      <w:r>
        <w:t xml:space="preserve"> </w:t>
      </w:r>
      <w:r>
        <w:rPr>
          <w:rStyle w:val="VerbatimChar"/>
        </w:rPr>
        <w:t xml:space="preserve">s_t</w:t>
      </w:r>
      <w:r>
        <w:t xml:space="preserve"> </w:t>
      </w:r>
      <w:r>
        <w:t xml:space="preserve">and</w:t>
      </w:r>
      <w:r>
        <w:t xml:space="preserve"> </w:t>
      </w:r>
      <w:r>
        <w:rPr>
          <w:rStyle w:val="VerbatimChar"/>
        </w:rPr>
        <w:t xml:space="preserve">s_b</w:t>
      </w:r>
      <w:r>
        <w:t xml:space="preserve"> </w:t>
      </w:r>
      <w:r>
        <w:t xml:space="preserve">represent two stratum of the soil seedbank: the top 0-2 cm and the bottom 2-20 cm. The columns</w:t>
      </w:r>
      <w:r>
        <w:t xml:space="preserve"> </w:t>
      </w:r>
      <w:r>
        <w:rPr>
          <w:rStyle w:val="VerbatimChar"/>
        </w:rPr>
        <w:t xml:space="preserve">p_co_1</w:t>
      </w:r>
      <w:r>
        <w:t xml:space="preserve"> </w:t>
      </w:r>
      <w:r>
        <w:t xml:space="preserve">through</w:t>
      </w:r>
      <w:r>
        <w:t xml:space="preserve"> </w:t>
      </w:r>
      <w:r>
        <w:rPr>
          <w:rStyle w:val="VerbatimChar"/>
        </w:rPr>
        <w:t xml:space="preserve">p_co_6</w:t>
      </w:r>
      <w:r>
        <w:t xml:space="preserve"> </w:t>
      </w:r>
      <w:r>
        <w:t xml:space="preserve">represent the plant cohorts 1 though 6. The same order is applied down eight rows of</w:t>
      </w:r>
      <w:r>
        <w:t xml:space="preserve"> </w:t>
      </w:r>
      <m:oMath>
        <m:sSub>
          <m:e>
            <m:r>
              <m:t>B</m:t>
            </m:r>
          </m:e>
          <m:sub>
            <m:r>
              <m:t>h</m:t>
            </m:r>
          </m:sub>
        </m:sSub>
      </m:oMath>
      <w:r>
        <w:t xml:space="preserve">.</w:t>
      </w:r>
    </w:p>
    <w:p>
      <w:pPr>
        <w:pStyle w:val="BodyText"/>
      </w:pPr>
      <w:r>
        <w:t xml:space="preserve">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oMath>
      <w:r>
        <w:t xml:space="preserve">). The seed producing parameters are the emergence probabilities (</w:t>
      </w:r>
      <m:oMath>
        <m:sSub>
          <m:e>
            <m:r>
              <m:t>g</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s</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s</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o</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for both seed preservation and seed production are tillage-induced seed movement across soil strata at the pre-planting (</w:t>
      </w:r>
      <m:oMath>
        <m:sSub>
          <m:e>
            <m:r>
              <m:t>t</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t</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granivores while the seeds that are kept at or moved to the 2-20 cm soil layer can germinate without reaching the soil surface (fatal germination), are exposed to decaying stimuli; or preserved at optimal conditions</w:t>
      </w:r>
      <w:r>
        <w:t xml:space="preserve"> </w:t>
      </w:r>
      <w:r>
        <w:t xml:space="preserve">(Burnside et al., 1996; Davis et al., 2005; Davis and Renner, 2007)</w:t>
      </w:r>
      <w:r>
        <w:t xml:space="preserve">.</w:t>
      </w:r>
    </w:p>
    <w:p>
      <w:pPr>
        <w:pStyle w:val="BodyText"/>
      </w:pPr>
      <w:r>
        <w:t xml:space="preserve">Details of how each of the matrices were form are in the Appendix, but a summary of the range of each parameter is provide below.</w:t>
      </w:r>
    </w:p>
    <w:p>
      <w:pPr>
        <w:pStyle w:val="TableCaption"/>
      </w:pPr>
      <w:r>
        <w:t xml:space="preserve">Table 2: Female-only population dynamics model parameters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28"/>
        <w:gridCol w:w="3334"/>
        <w:gridCol w:w="1646"/>
        <w:gridCol w:w="5376"/>
        <w:gridCol w:w="5095"/>
        <w:gridCol w:w="5401"/>
        <w:gridCol w:w="5156"/>
      </w:tblGrid>
      <w:tr>
        <w:trPr>
          <w:cantSplit/>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Denomination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Unit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Corn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Soybean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Oat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Alfalfa</w:t>
            </w:r>
          </w:p>
        </w:tc>
      </w:tr>
      <w:tr>
        <w:trPr>
          <w:cantSplit/>
          <w:trHeight w:val="61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stay at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t_11,s or t_11,f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0.02 - 1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0.02</w:t>
            </w:r>
          </w:p>
        </w:tc>
      </w:tr>
      <w:tr>
        <w:trPr>
          <w:cantSplit/>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move to the bottom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t_12,s or t_12,f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0.07</w:t>
            </w:r>
          </w:p>
        </w:tc>
      </w:tr>
      <w:tr>
        <w:trPr>
          <w:cantSplit/>
          <w:trHeight w:val="61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move to the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t_21,s or t_21,f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0 - 0.98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0.98</w:t>
            </w:r>
          </w:p>
        </w:tc>
      </w:tr>
      <w:tr>
        <w:trPr>
          <w:cantSplit/>
          <w:trHeight w:val="61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stay at bottom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t_22,s or t_22,f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0.93 - 1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0.93</w:t>
            </w:r>
          </w:p>
        </w:tc>
      </w:tr>
      <w:tr>
        <w:trPr>
          <w:cantSplit/>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Emergence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e_1 through e_6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 x 10^-6 - 0.07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 x 10^-6 - 0.02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 x 10^-6 - 0.0006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0.0008 - 0.1</w:t>
            </w:r>
          </w:p>
        </w:tc>
      </w:tr>
      <w:tr>
        <w:trPr>
          <w:cantSplit/>
          <w:trHeight w:val="61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s_1,p through s_6,p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0.01 - 0.84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0.1 - 0.5</w:t>
            </w:r>
          </w:p>
        </w:tc>
      </w:tr>
      <w:tr>
        <w:trPr>
          <w:cantSplit/>
          <w:trHeight w:val="601"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s_11,s, s_22,s, o_11,s o_22,s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r>
      <w:tr>
        <w:trPr>
          <w:cantSplit/>
          <w:trHeight w:val="619"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fecundity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f_1 through f_6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seeds/plant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1.0 - 3518.6; scenario 2: 4.3 - 9003620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0 - 35.5; scenario 2: 0.5 - 4453381.0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3.9 - 964.0; scenario 2: 3.9 - 4115522.0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0.64 - 11.8; scenario 2: 0.2 - 14478.1</w:t>
            </w:r>
          </w:p>
        </w:tc>
      </w:tr>
    </w:tbl>
    <w:bookmarkEnd w:id="29"/>
    <w:bookmarkStart w:id="34" w:name="modeling"/>
    <w:p>
      <w:pPr>
        <w:pStyle w:val="Heading3"/>
      </w:pPr>
      <w:r>
        <w:t xml:space="preserve">Modeling</w:t>
      </w:r>
    </w:p>
    <w:p>
      <w:pPr>
        <w:pStyle w:val="FirstParagraph"/>
      </w:pPr>
      <w:r>
        <w:t xml:space="preserve">Within a year, waterhemp population projection from sub-annual period</w:t>
      </w:r>
      <w:r>
        <w:t xml:space="preserve"> </w:t>
      </w:r>
      <m:oMath>
        <m:r>
          <m:t>h</m:t>
        </m:r>
      </m:oMath>
      <w:r>
        <w:t xml:space="preserve"> </w:t>
      </w:r>
      <w:r>
        <w:t xml:space="preserve">to</w:t>
      </w:r>
      <w:r>
        <w:t xml:space="preserve"> </w:t>
      </w:r>
      <m:oMath>
        <m:r>
          <m:t>h</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h</m:t>
              </m:r>
              <m:r>
                <m:rPr>
                  <m:sty m:val="p"/>
                </m:rPr>
                <m:t>+</m:t>
              </m:r>
              <m:r>
                <m:t>1</m:t>
              </m:r>
            </m:sub>
          </m:sSub>
          <m:r>
            <m:rPr>
              <m:sty m:val="p"/>
            </m:rPr>
            <m:t>=</m:t>
          </m:r>
          <m:sSub>
            <m:e>
              <m:r>
                <m:t>B</m:t>
              </m:r>
            </m:e>
            <m:sub>
              <m:r>
                <m:t>h</m:t>
              </m:r>
            </m:sub>
          </m:sSub>
          <m:r>
            <m:rPr>
              <m:sty m:val="p"/>
            </m:rPr>
            <m:t>*</m:t>
          </m:r>
          <m:sSub>
            <m:e>
              <m:r>
                <m:t>N</m:t>
              </m:r>
            </m:e>
            <m:sub>
              <m:r>
                <m:t>h</m:t>
              </m:r>
            </m:sub>
          </m:sSub>
        </m:oMath>
      </m:oMathPara>
    </w:p>
    <w:p>
      <w:pPr>
        <w:pStyle w:val="FirstParagraph"/>
      </w:pPr>
      <w:r>
        <w:br/>
      </w:r>
      <w:r>
        <w:t xml:space="preserve">where,</w:t>
      </w:r>
      <w:r>
        <w:br/>
      </w:r>
      <m:oMath>
        <m:sSub>
          <m:e>
            <m:r>
              <m:t>B</m:t>
            </m:r>
          </m:e>
          <m:sub>
            <m:r>
              <m:t>h</m:t>
            </m:r>
          </m:sub>
        </m:sSub>
      </m:oMath>
      <w:r>
        <w:t xml:space="preserve"> </w:t>
      </w:r>
      <w:r>
        <w:t xml:space="preserve">is the square transition matrix from time</w:t>
      </w:r>
      <w:r>
        <w:t xml:space="preserve"> </w:t>
      </w:r>
      <m:oMath>
        <m:r>
          <m:t>h</m:t>
        </m:r>
      </m:oMath>
      <w:r>
        <w:t xml:space="preserve"> </w:t>
      </w:r>
      <w:r>
        <w:t xml:space="preserve">to time</w:t>
      </w:r>
      <w:r>
        <w:t xml:space="preserve"> </w:t>
      </w:r>
      <m:oMath>
        <m:r>
          <m:t>h</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seed dormancy is calculated with</w:t>
      </w:r>
    </w:p>
    <w:p>
      <w:pPr>
        <w:pStyle w:val="BodyText"/>
      </w:pPr>
      <m:oMathPara>
        <m:oMathParaPr>
          <m:jc m:val="center"/>
        </m:oMathParaPr>
        <m:oMath>
          <m:sSub>
            <m:e>
              <m:r>
                <m:t>N</m:t>
              </m:r>
            </m:e>
            <m:sub>
              <m:sSub>
                <m:e>
                  <m:r>
                    <m:t>r</m:t>
                  </m:r>
                </m:e>
                <m:sub>
                  <m:r>
                    <m:t>c</m:t>
                  </m:r>
                  <m:r>
                    <m:rPr>
                      <m:sty m:val="p"/>
                    </m:rPr>
                    <m:t>,</m:t>
                  </m:r>
                  <m:r>
                    <m:t>h</m:t>
                  </m:r>
                  <m:r>
                    <m:rPr>
                      <m:sty m:val="p"/>
                    </m:rPr>
                    <m:t>+</m:t>
                  </m:r>
                  <m:r>
                    <m:t>1</m:t>
                  </m:r>
                </m:sub>
              </m:sSub>
            </m:sub>
          </m:sSub>
          <m:r>
            <m:rPr>
              <m:sty m:val="p"/>
            </m:rPr>
            <m:t>=</m:t>
          </m:r>
          <m:sSub>
            <m:e>
              <m:r>
                <m:t>N</m:t>
              </m:r>
            </m:e>
            <m:sub>
              <m:sSub>
                <m:e>
                  <m:r>
                    <m:t>r</m:t>
                  </m:r>
                </m:e>
                <m:sub>
                  <m:r>
                    <m:t>c</m:t>
                  </m:r>
                  <m:r>
                    <m:rPr>
                      <m:sty m:val="p"/>
                    </m:rPr>
                    <m:t>,</m:t>
                  </m:r>
                  <m:r>
                    <m:t>w</m:t>
                  </m:r>
                </m:sub>
              </m:sSub>
            </m:sub>
          </m:sSub>
          <m:r>
            <m:rPr>
              <m:sty m:val="p"/>
            </m:rPr>
            <m:t>*</m:t>
          </m:r>
          <m:nary>
            <m:naryPr>
              <m:chr m:val="∏"/>
              <m:limLoc m:val="undOvr"/>
              <m:subHide m:val="0"/>
              <m:supHide m:val="0"/>
            </m:naryPr>
            <m:sub>
              <m:r>
                <m:t>h</m:t>
              </m:r>
              <m:r>
                <m:rPr>
                  <m:sty m:val="p"/>
                </m:rPr>
                <m:t>=</m:t>
              </m:r>
              <m:r>
                <m:t>1</m:t>
              </m:r>
            </m:sub>
            <m:sup>
              <m:r>
                <m:t>H</m:t>
              </m:r>
            </m:sup>
            <m:e>
              <m:sSub>
                <m:e>
                  <m:r>
                    <m:t>B</m:t>
                  </m:r>
                </m:e>
                <m:sub>
                  <m:r>
                    <m:t>h</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 population matrix</w:t>
      </w:r>
      <w:r>
        <w:t xml:space="preserve"> </w:t>
      </w:r>
      <w:r>
        <w:t xml:space="preserve">(Leslie, 1945)</w:t>
      </w:r>
      <w:r>
        <w:t xml:space="preserve"> </w:t>
      </w:r>
      <w:r>
        <w:t xml:space="preserve">in crop phase</w:t>
      </w:r>
      <w:r>
        <w:t xml:space="preserve"> </w:t>
      </w:r>
      <m:oMath>
        <m:sSup>
          <m:e>
            <m:r>
              <m:t>c</m:t>
            </m:r>
          </m:e>
          <m:sup>
            <m:r>
              <m:t>t</m:t>
            </m:r>
            <m:r>
              <m:t>h</m:t>
            </m:r>
          </m:sup>
        </m:sSup>
      </m:oMath>
      <w:r>
        <w:t xml:space="preserve"> </w:t>
      </w:r>
      <w:r>
        <w:t xml:space="preserve">corn weed management</w:t>
      </w:r>
      <w:r>
        <w:t xml:space="preserve"> </w:t>
      </w:r>
      <m:oMath>
        <m:sSup>
          <m:e>
            <m:r>
              <m:t>w</m:t>
            </m:r>
          </m:e>
          <m:sup>
            <m:r>
              <m:t>t</m:t>
            </m:r>
            <m:r>
              <m:t>h</m:t>
            </m:r>
          </m:sup>
        </m:sSup>
      </m:oMath>
      <w:r>
        <w:t xml:space="preserve">, and</w:t>
      </w:r>
      <w:r>
        <w:br/>
      </w:r>
      <m:oMath>
        <m:sSub>
          <m:e>
            <m:r>
              <m:t>B</m:t>
            </m:r>
          </m:e>
          <m:sub>
            <m:r>
              <m:t>h</m:t>
            </m:r>
          </m:sub>
        </m:sSub>
      </m:oMath>
      <w:r>
        <w:t xml:space="preserve"> </w:t>
      </w:r>
      <w:r>
        <w:t xml:space="preserve">is the population transition matrix during summer</w:t>
      </w:r>
    </w:p>
    <w:p>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(intermediate value to calculate fecundity), and fecundity because this factor could not be measured independently.</w:t>
      </w:r>
    </w:p>
    <w:p>
      <w:pPr>
        <w:pStyle w:val="BodyText"/>
      </w:pPr>
      <w:r>
        <w:t xml:space="preserve">Matrix calculation in this study was performed in R version 4.2.0</w:t>
      </w:r>
      <w:r>
        <w:t xml:space="preserve"> </w:t>
      </w:r>
      <w:r>
        <w:t xml:space="preserve">(R Development Core Team, 2022)</w:t>
      </w:r>
      <w:r>
        <w:t xml:space="preserve">.</w:t>
      </w:r>
    </w:p>
    <w:bookmarkStart w:id="30" w:name="population-growth-rate"/>
    <w:p>
      <w:pPr>
        <w:pStyle w:val="Heading4"/>
      </w:pPr>
      <w:r>
        <w:t xml:space="preserve">Population growth rate</w:t>
      </w:r>
    </w:p>
    <w:p>
      <w:pPr>
        <w:pStyle w:val="FirstParagraph"/>
      </w:pPr>
      <w:r>
        <w:t xml:space="preserve">We projected population growth rates under two scenarios of control efficacy. The high-efficacy scenario (Scenario 1) and the low-efficacy scenario (Scenarios 2) used different fecundity values in the seed production sub-annual period but the same vital rates in all other sub-annual periods.</w:t>
      </w:r>
    </w:p>
    <w:p>
      <w:pPr>
        <w:pStyle w:val="BodyText"/>
      </w:pPr>
      <w:r>
        <w:t xml:space="preserve">The</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 </w:t>
      </w:r>
      <w:r>
        <w:t xml:space="preserve">was applied on matrices</w:t>
      </w:r>
      <w:r>
        <w:t xml:space="preserve"> </w:t>
      </w:r>
      <m:oMath>
        <m:sSub>
          <m:e>
            <m:r>
              <m:t>P</m:t>
            </m:r>
          </m:e>
          <m:sub>
            <m:r>
              <m:t>2</m:t>
            </m:r>
            <m:r>
              <m:t>w</m:t>
            </m:r>
          </m:sub>
        </m:sSub>
      </m:oMath>
      <w:r>
        <w:t xml:space="preserve">,</w:t>
      </w:r>
      <w:r>
        <w:t xml:space="preserve"> </w:t>
      </w:r>
      <m:oMath>
        <m:sSub>
          <m:e>
            <m:r>
              <m:t>P</m:t>
            </m:r>
          </m:e>
          <m:sub>
            <m:r>
              <m:t>3</m:t>
            </m:r>
            <m:r>
              <m:t>w</m:t>
            </m:r>
          </m:sub>
        </m:sSub>
      </m:oMath>
      <w:r>
        <w:t xml:space="preserve">, and</w:t>
      </w:r>
      <w:r>
        <w:t xml:space="preserve"> </w:t>
      </w:r>
      <m:oMath>
        <m:sSub>
          <m:e>
            <m:r>
              <m:t>P</m:t>
            </m:r>
          </m:e>
          <m:sub>
            <m:r>
              <m:t>4</m:t>
            </m:r>
            <m:r>
              <m:t>w</m:t>
            </m:r>
          </m:sub>
        </m:sSub>
      </m:oMath>
      <w:r>
        <w:t xml:space="preserve"> </w:t>
      </w:r>
      <w:r>
        <w:t xml:space="preserve">to obtain the population growth rate (</w:t>
      </w:r>
      <m:oMath>
        <m:r>
          <m:t>λ</m:t>
        </m:r>
      </m:oMath>
      <w:r>
        <w:t xml:space="preserve">) in each rotation crossed with corn weed management regime during the full crop cycle.</w:t>
      </w:r>
    </w:p>
    <w:p>
      <w:pPr>
        <w:pStyle w:val="BodyText"/>
      </w:pPr>
      <w:r>
        <w:t xml:space="preserve">The rotation-wise population growth rates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were extracted from the</w:t>
      </w:r>
      <w:r>
        <w:t xml:space="preserve"> </w:t>
      </w:r>
      <w:r>
        <w:rPr>
          <w:rStyle w:val="VerbatimChar"/>
        </w:rPr>
        <w:t xml:space="preserve">$lambda</w:t>
      </w:r>
      <w:r>
        <w:t xml:space="preserve"> </w:t>
      </w:r>
      <w:r>
        <w:t xml:space="preserve">element in the comprehensive output of</w:t>
      </w:r>
      <w:r>
        <w:t xml:space="preserve"> </w:t>
      </w:r>
      <w:r>
        <w:rPr>
          <w:rStyle w:val="VerbatimChar"/>
        </w:rPr>
        <w:t xml:space="preserve">eigen.analysis</w:t>
      </w:r>
      <w:r>
        <w:t xml:space="preserve"> </w:t>
      </w:r>
      <w:r>
        <w:t xml:space="preserve">for each of</w:t>
      </w:r>
      <w:r>
        <w:t xml:space="preserve"> </w:t>
      </w:r>
      <m:oMath>
        <m:sSub>
          <m:e>
            <m:r>
              <m:t>A</m:t>
            </m:r>
          </m:e>
          <m:sub>
            <m:r>
              <m:t>2</m:t>
            </m:r>
          </m:sub>
        </m:sSub>
      </m:oMath>
      <w:r>
        <w:t xml:space="preserve">,</w:t>
      </w:r>
      <w:r>
        <w:t xml:space="preserve"> </w:t>
      </w:r>
      <m:oMath>
        <m:sSub>
          <m:e>
            <m:r>
              <m:t>A</m:t>
            </m:r>
          </m:e>
          <m:sub>
            <m:r>
              <m:t>3</m:t>
            </m:r>
          </m:sub>
        </m:sSub>
      </m:oMath>
      <w:r>
        <w:t xml:space="preserve">, and</w:t>
      </w:r>
      <w:r>
        <w:t xml:space="preserve"> </w:t>
      </w:r>
      <m:oMath>
        <m:sSub>
          <m:e>
            <m:r>
              <m:t>A</m:t>
            </m:r>
          </m:e>
          <m:sub>
            <m:r>
              <m:t>4</m:t>
            </m:r>
          </m:sub>
        </m:sSub>
      </m:oMath>
      <w:r>
        <w:t xml:space="preserve">. The annualized population growth rates for each rotation crossed with corn weed management regime (</w:t>
      </w:r>
      <m:oMath>
        <m:r>
          <m:t>λ</m:t>
        </m:r>
        <m:d>
          <m:dPr>
            <m:begChr m:val="("/>
            <m:endChr m:val=")"/>
            <m:sepChr m:val=""/>
            <m:grow/>
          </m:dPr>
          <m:e>
            <m:r>
              <m:t>2</m:t>
            </m:r>
            <m:r>
              <m:t>w</m:t>
            </m:r>
          </m:e>
        </m:d>
      </m:oMath>
      <w:r>
        <w:t xml:space="preserve">,</w:t>
      </w:r>
      <w:r>
        <w:t xml:space="preserve"> </w:t>
      </w:r>
      <m:oMath>
        <m:r>
          <m:t>λ</m:t>
        </m:r>
        <m:d>
          <m:dPr>
            <m:begChr m:val="("/>
            <m:endChr m:val=")"/>
            <m:sepChr m:val=""/>
            <m:grow/>
          </m:dPr>
          <m:e>
            <m:r>
              <m:t>3</m:t>
            </m:r>
            <m:r>
              <m:t>w</m:t>
            </m:r>
          </m:e>
        </m:d>
      </m:oMath>
      <w:r>
        <w:t xml:space="preserve">, and</w:t>
      </w:r>
      <w:r>
        <w:t xml:space="preserve"> </w:t>
      </w:r>
      <m:oMath>
        <m:r>
          <m:t>λ</m:t>
        </m:r>
        <m:d>
          <m:dPr>
            <m:begChr m:val="("/>
            <m:endChr m:val=")"/>
            <m:sepChr m:val=""/>
            <m:grow/>
          </m:dPr>
          <m:e>
            <m:r>
              <m:t>4</m:t>
            </m:r>
            <m:r>
              <m:t>w</m:t>
            </m:r>
          </m:e>
        </m:d>
      </m:oMath>
      <w:r>
        <w:t xml:space="preserve">) were obtained from taking the square root, cubic root, and fourth root of</w:t>
      </w:r>
      <w:r>
        <w:t xml:space="preserve"> </w:t>
      </w:r>
      <m:oMath>
        <m:sSub>
          <m:e>
            <m:r>
              <m:t>λ</m:t>
            </m:r>
          </m:e>
          <m:sub>
            <m:r>
              <m:t>2</m:t>
            </m:r>
            <m:r>
              <m:t>w</m:t>
            </m:r>
          </m:sub>
        </m:sSub>
      </m:oMath>
      <w:r>
        <w:t xml:space="preserve">,</w:t>
      </w:r>
      <w:r>
        <w:t xml:space="preserve"> </w:t>
      </w:r>
      <m:oMath>
        <m:sSub>
          <m:e>
            <m:r>
              <m:t>λ</m:t>
            </m:r>
          </m:e>
          <m:sub>
            <m:r>
              <m:t>3</m:t>
            </m:r>
            <m:r>
              <m:t>w</m:t>
            </m:r>
          </m:sub>
        </m:sSub>
      </m:oMath>
      <w:r>
        <w:t xml:space="preserve">, and</w:t>
      </w:r>
      <w:r>
        <w:t xml:space="preserve"> </w:t>
      </w:r>
      <m:oMath>
        <m:sSub>
          <m:e>
            <m:r>
              <m:t>λ</m:t>
            </m:r>
          </m:e>
          <m:sub>
            <m:r>
              <m:t>4</m:t>
            </m:r>
            <m:r>
              <m:t>w</m:t>
            </m:r>
          </m:sub>
        </m:sSub>
      </m:oMath>
      <w:r>
        <w:t xml:space="preserve">.</w:t>
      </w:r>
    </w:p>
    <w:bookmarkEnd w:id="30"/>
    <w:bookmarkStart w:id="31"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the low herbicide regime is the treatment of interest, following</w:t>
      </w:r>
      <w:r>
        <w:t xml:space="preserve"> </w:t>
      </w:r>
      <w:r>
        <w:t xml:space="preserve">Caswell and Trevisan (1994)</w:t>
      </w:r>
      <w:r>
        <w:t xml:space="preserve">’s notions.</w:t>
      </w:r>
    </w:p>
    <w:p>
      <w:pPr>
        <w:pStyle w:val="BodyText"/>
      </w:pPr>
      <w:r>
        <w:t xml:space="preserve">The sensitivities of rotation-wise</w:t>
      </w:r>
      <w:r>
        <w:t xml:space="preserve">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t</m:t>
        </m:r>
        <m:r>
          <m:t>s</m:t>
        </m:r>
        <m:r>
          <m:rPr>
            <m:sty m:val="p"/>
          </m:rPr>
          <m:t>,</m:t>
        </m:r>
        <m:r>
          <m:t>e</m:t>
        </m:r>
        <m:r>
          <m:rPr>
            <m:sty m:val="p"/>
          </m:rPr>
          <m:t>,</m:t>
        </m:r>
        <m:r>
          <m:t>s</m:t>
        </m:r>
        <m:r>
          <m:rPr>
            <m:sty m:val="p"/>
          </m:rPr>
          <m:t>,</m:t>
        </m:r>
        <m:r>
          <m:t>f</m:t>
        </m:r>
        <m:r>
          <m:rPr>
            <m:sty m:val="p"/>
          </m:rPr>
          <m:t>,</m:t>
        </m:r>
        <m:r>
          <m:t>t</m:t>
        </m:r>
        <m:r>
          <m:t>f</m:t>
        </m:r>
        <m:r>
          <m:rPr>
            <m:sty m:val="p"/>
          </m:rPr>
          <m:t>,</m:t>
        </m:r>
        <m:r>
          <m:t>o</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sSub>
          <m:e>
            <m:r>
              <m:t>λ</m:t>
            </m:r>
          </m:e>
          <m:sub>
            <m:r>
              <m:t>r</m:t>
            </m:r>
            <m:r>
              <m:t>w</m:t>
            </m:r>
          </m:sub>
        </m:sSub>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r>
        <w:t xml:space="preserve"> </w:t>
      </w:r>
      <m:oMath>
        <m:sSub>
          <m:e>
            <m:r>
              <m:t>S</m:t>
            </m:r>
          </m:e>
          <m:sub>
            <m:r>
              <m:t>A</m:t>
            </m:r>
          </m:sub>
        </m:sSub>
        <m:d>
          <m:dPr>
            <m:begChr m:val="("/>
            <m:endChr m:val=")"/>
            <m:sepChr m:val=""/>
            <m:grow/>
          </m:dPr>
          <m:e>
            <m:r>
              <m:t>h</m:t>
            </m:r>
          </m:e>
        </m:d>
      </m:oMath>
      <w:r>
        <w:t xml:space="preserve"> </w:t>
      </w:r>
      <w:r>
        <w:t xml:space="preserve">was calculated by applying the</w:t>
      </w:r>
      <w:r>
        <w:t xml:space="preserve"> </w:t>
      </w:r>
      <w:r>
        <w:rPr>
          <w:rStyle w:val="VerbatimChar"/>
        </w:rPr>
        <w:t xml:space="preserve">sensitivity</w:t>
      </w:r>
      <w:r>
        <w:t xml:space="preserve"> </w:t>
      </w:r>
      <w:r>
        <w:t xml:space="preserve">function from the</w:t>
      </w:r>
      <w:r>
        <w:t xml:space="preserve"> </w:t>
      </w:r>
      <w:r>
        <w:rPr>
          <w:rStyle w:val="VerbatimChar"/>
        </w:rPr>
        <w:t xml:space="preserve">popbio</w:t>
      </w:r>
      <w:r>
        <w:t xml:space="preserve"> </w:t>
      </w:r>
      <w:r>
        <w:t xml:space="preserve">package on the</w:t>
      </w:r>
      <w:r>
        <w:t xml:space="preserve"> </w:t>
      </w:r>
      <m:oMath>
        <m:sSubSup>
          <m:e>
            <m:r>
              <m:t>A</m:t>
            </m:r>
          </m:e>
          <m:sub>
            <m:r>
              <m:t>h</m:t>
            </m:r>
          </m:sub>
          <m:sup>
            <m:r>
              <m:rPr>
                <m:sty m:val="p"/>
              </m:rPr>
              <m:t>*</m:t>
            </m:r>
          </m:sup>
        </m:sSubSup>
      </m:oMath>
      <w:r>
        <w:t xml:space="preserve">.</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g</m:t>
                </m:r>
              </m:sub>
            </m:sSub>
          </m:sub>
        </m:sSub>
      </m:oMath>
      <w:r>
        <w:t xml:space="preserve"> </w:t>
      </w:r>
      <w:r>
        <w:t xml:space="preserve">- sensitivity of</w:t>
      </w:r>
      <w:r>
        <w:t xml:space="preserve"> </w:t>
      </w:r>
      <m:oMath>
        <m:sSub>
          <m:e>
            <m:r>
              <m:t>λ</m:t>
            </m:r>
          </m:e>
          <m:sub>
            <m:r>
              <m:t>r</m:t>
            </m:r>
            <m:r>
              <m:t>w</m:t>
            </m:r>
          </m:sub>
        </m:sSub>
      </m:oMath>
      <w:r>
        <w:t xml:space="preserve"> </w:t>
      </w:r>
      <w:r>
        <w:t xml:space="preserve">to summer survival, is a 8 x 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in the 0-2 cm soil stratum, seed density in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31"/>
    <w:bookmarkStart w:id="32" w:name="X38576813a830727caa279e8b8c5885ad7512aa4"/>
    <w:p>
      <w:pPr>
        <w:pStyle w:val="Heading4"/>
      </w:pPr>
      <w:r>
        <w:t xml:space="preserve">Elasticity of population growth rate on each lower-level parameter</w:t>
      </w:r>
    </w:p>
    <w:p>
      <w:pPr>
        <w:pStyle w:val="FirstParagraph"/>
      </w:pPr>
      <w:r>
        <w:t xml:space="preserve">The elasticity of</w:t>
      </w:r>
      <w:r>
        <w:t xml:space="preserve"> </w:t>
      </w:r>
      <m:oMath>
        <m:sSub>
          <m:e>
            <m:r>
              <m:t>λ</m:t>
            </m:r>
          </m:e>
          <m:sub>
            <m:r>
              <m:t>r</m:t>
            </m:r>
            <m:r>
              <m:t>w</m:t>
            </m:r>
          </m:sub>
        </m:sSub>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h</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3</m:t>
              </m:r>
            </m:e>
          </m:d>
        </m:oMath>
      </m:oMathPara>
    </w:p>
    <w:p>
      <w:pPr>
        <w:pStyle w:val="FirstParagraph"/>
      </w:pPr>
      <w:r>
        <w:t xml:space="preserve">where,</w:t>
      </w:r>
    </w:p>
    <w:p>
      <w:pPr>
        <w:pStyle w:val="BodyText"/>
      </w:pPr>
      <m:oMath>
        <m:sSub>
          <m:e>
            <m:r>
              <m:t>b</m:t>
            </m:r>
          </m:e>
          <m:sub>
            <m:r>
              <m:t>i</m:t>
            </m:r>
            <m:r>
              <m:t>j</m:t>
            </m:r>
            <m:r>
              <m:t>h</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(2).</w:t>
      </w:r>
    </w:p>
    <w:bookmarkEnd w:id="32"/>
    <w:bookmarkStart w:id="33" w:name="simulations"/>
    <w:p>
      <w:pPr>
        <w:pStyle w:val="Heading4"/>
      </w:pPr>
      <w:r>
        <w:t xml:space="preserve">Simulations</w:t>
      </w:r>
    </w:p>
    <w:p>
      <w:pPr>
        <w:pStyle w:val="FirstParagraph"/>
      </w:pPr>
      <w:r>
        <w:t xml:space="preserve">Since plant fecundity was the most influential on population growth and waterhemp was more prolific in the warm-season crop environments than the cool-season crop environments, we followed up with a simulation of either seed production threshold or mature plant density in corn and soybean. We used a theoretical plot of 1 m</w:t>
      </w:r>
      <m:oMath>
        <m:sSup>
          <m:e>
            <m:r>
              <m:t>​</m:t>
            </m:r>
          </m:e>
          <m:sup>
            <m:r>
              <m:t>2</m:t>
            </m:r>
          </m:sup>
        </m:sSup>
      </m:oMath>
      <w:r>
        <w:t xml:space="preserve"> </w:t>
      </w:r>
      <w:r>
        <w:t xml:space="preserve">with 10000 seeds in the top 0 - 2 cm soil stratum and 0 seed in the 2 - 20 cm soil stratum and followed that theoretical plot in three rotations (2-year, 3-year, and 4-year) crossed with two corn weed management regimes (conventional and low herbicide), as empirically experimented at our research site. We were interested in the following question:</w:t>
      </w:r>
    </w:p>
    <w:p>
      <w:pPr>
        <w:pStyle w:val="BodyText"/>
      </w:pPr>
      <w:r>
        <w:rPr>
          <w:iCs/>
          <w:i/>
        </w:rPr>
        <w:t xml:space="preserve">How much weed control efficacy is necessary to keep a waterhemp population stable (</w:t>
      </w:r>
      <m:oMath>
        <m:r>
          <m:t>λ</m:t>
        </m:r>
        <m:r>
          <m:rPr>
            <m:sty m:val="p"/>
          </m:rPr>
          <m:t>≈</m:t>
        </m:r>
        <m:r>
          <m:t>1</m:t>
        </m:r>
      </m:oMath>
      <w:r>
        <w:rPr>
          <w:iCs/>
          <w:i/>
        </w:rPr>
        <w:t xml:space="preserve">)? Control efficacy in waterhemp in this study is measured by seed production (seeds/m</w:t>
      </w:r>
      <m:oMath>
        <m:sSup>
          <m:e>
            <m:r>
              <m:t>​</m:t>
            </m:r>
          </m:e>
          <m:sup>
            <m:r>
              <m:t>2</m:t>
            </m:r>
          </m:sup>
        </m:sSup>
      </m:oMath>
      <w:r>
        <w:rPr>
          <w:iCs/>
          <w:i/>
        </w:rPr>
        <w:t xml:space="preserve">) instead of plant density because waterhemp plant size is highly variable.</w:t>
      </w:r>
    </w:p>
    <w:p>
      <w:pPr>
        <w:pStyle w:val="BodyText"/>
      </w:pPr>
      <w:r>
        <w:t xml:space="preserve">All the population dynamics, except for plant fecundity of cohort 1 through 3, were kept as in the prospective modeling exercise. We estimated the necessary control efficacy in the corn and soybean crop environments by simulating seed production allowance for plant cohorts 1 through 3. We only manipulated fecundity of cohorts 1 through 3 because 1) the first three cohorts are most likely exposed to herbicides or cultivation than the later cohorts, 2) the first three cohorts, especially cohorts 1 and 2, have higher survival rates than the later cohorts, and 3) in general, the earlier cohorts are more capable of accumulating larger aboveground mass, and thus, hold higher reproductive potentials than later cohorts,.</w:t>
      </w:r>
    </w:p>
    <w:p>
      <w:pPr>
        <w:pStyle w:val="BodyText"/>
      </w:pPr>
      <w:r>
        <w:t xml:space="preserve">In each seed production threshold simulation iteration, the seed production sub-annual matrix (</w:t>
      </w:r>
      <m:oMath>
        <m:sSub>
          <m:e>
            <m:r>
              <m:t>B</m:t>
            </m:r>
          </m:e>
          <m:sub>
            <m:r>
              <m:t>f</m:t>
            </m:r>
          </m:sub>
        </m:sSub>
      </m:oMath>
      <w:r>
        <w:t xml:space="preserve">) was manipulated while all the other five sub-annual matrices were kept the same as in the population projection exercise. A randomized number of seeds was generated for each of cohorts 1 through 3 using function</w:t>
      </w:r>
      <w:r>
        <w:t xml:space="preserve"> </w:t>
      </w:r>
      <w:r>
        <w:rPr>
          <w:rStyle w:val="VerbatimChar"/>
        </w:rPr>
        <w:t xml:space="preserve">rlnorm(1, m, s)</w:t>
      </w:r>
      <w:r>
        <w:t xml:space="preserve">, in which m is the mean fecundity on natural logarithm scale and s is the standard deviation on the natural logarithm scale. m and s were obtained from the a general relationship of</w:t>
      </w:r>
      <w:r>
        <w:t xml:space="preserve"> </w:t>
      </w:r>
      <w:r>
        <w:rPr>
          <w:rStyle w:val="VerbatimChar"/>
        </w:rPr>
        <w:t xml:space="preserve">ln(individual fecundity +1)</w:t>
      </w:r>
      <w:r>
        <w:t xml:space="preserve"> </w:t>
      </w:r>
      <w:r>
        <w:t xml:space="preserve">against</w:t>
      </w:r>
      <w:r>
        <w:t xml:space="preserve"> </w:t>
      </w:r>
      <w:r>
        <w:rPr>
          <w:rStyle w:val="VerbatimChar"/>
        </w:rPr>
        <w:t xml:space="preserve">ln(individual aboveground mass + 0.005)</w:t>
      </w:r>
      <w:r>
        <w:t xml:space="preserve"> </w:t>
      </w:r>
      <w:r>
        <w:t xml:space="preserve">(Nguyen and Liebman, 2022a)</w:t>
      </w:r>
      <w:r>
        <w:t xml:space="preserve"> </w:t>
      </w:r>
      <w:r>
        <w:t xml:space="preserve">that pooled all the 389 data points from the whole experiment. Twenty-four pairs of s and m were estimated (details are in Table</w:t>
      </w:r>
      <w:r>
        <w:t xml:space="preserve"> </w:t>
      </w:r>
      <w:r>
        <w:t xml:space="preserve">7</w:t>
      </w:r>
      <w:r>
        <w:t xml:space="preserve"> </w:t>
      </w:r>
      <w:r>
        <w:t xml:space="preserve">in the Appendix). Different pairs of s and m were tried in the simulation until annualized</w:t>
      </w:r>
      <w:r>
        <w:t xml:space="preserve"> </w:t>
      </w:r>
      <m:oMath>
        <m:r>
          <m:t>λ</m:t>
        </m:r>
        <m:r>
          <m:rPr>
            <m:sty m:val="p"/>
          </m:rPr>
          <m:t>≈</m:t>
        </m:r>
        <m:r>
          <m:t>1</m:t>
        </m:r>
      </m:oMath>
      <w:r>
        <w:t xml:space="preserve"> </w:t>
      </w:r>
      <w:r>
        <w:t xml:space="preserve">in each treatment.</w:t>
      </w:r>
    </w:p>
    <w:p>
      <w:pPr>
        <w:pStyle w:val="BodyText"/>
      </w:pPr>
      <w:r>
        <w:t xml:space="preserve">In each mature plant density threshold simulation iteration, the input survival rates of cohorts 1 through 3 in the summer survival subannual matrix (</w:t>
      </w:r>
      <m:oMath>
        <m:sSub>
          <m:e>
            <m:r>
              <m:t>B</m:t>
            </m:r>
          </m:e>
          <m:sub>
            <m:r>
              <m:t>s</m:t>
            </m:r>
          </m:sub>
        </m:sSub>
      </m:oMath>
      <w:r>
        <w:t xml:space="preserve">) was reduced until annualized</w:t>
      </w:r>
      <w:r>
        <w:t xml:space="preserve"> </w:t>
      </w:r>
      <m:oMath>
        <m:r>
          <m:t>λ</m:t>
        </m:r>
        <m:r>
          <m:rPr>
            <m:sty m:val="p"/>
          </m:rPr>
          <m:t>≈</m:t>
        </m:r>
        <m:r>
          <m:t>1</m:t>
        </m:r>
      </m:oMath>
      <w:r>
        <w:t xml:space="preserve"> </w:t>
      </w:r>
      <w:r>
        <w:t xml:space="preserve">in each treatment. All the other five sub-annual matrices were kept the same as in the population projection exercise. The final manipulated survival rates were used with the unmanipulated survival rates to calculate the cohort-based mature plant density and population-wise plant density.</w:t>
      </w:r>
    </w:p>
    <w:bookmarkEnd w:id="33"/>
    <w:bookmarkEnd w:id="34"/>
    <w:bookmarkEnd w:id="35"/>
    <w:bookmarkStart w:id="101" w:name="results-and-discussion"/>
    <w:p>
      <w:pPr>
        <w:pStyle w:val="Heading1"/>
      </w:pPr>
      <w:r>
        <w:t xml:space="preserve">Results and discussion</w:t>
      </w:r>
    </w:p>
    <w:p>
      <w:pPr>
        <w:pStyle w:val="FirstParagraph"/>
      </w:pPr>
      <w:r>
        <w:t xml:space="preserve">All the multi-year variables failed the Levene’s test for equal variance so those data were analyzed by year.</w:t>
      </w:r>
    </w:p>
    <w:bookmarkStart w:id="41" w:name="X413fbd2b508dfcda083de6efac2e339c70114e8"/>
    <w:p>
      <w:pPr>
        <w:pStyle w:val="Heading2"/>
      </w:pPr>
      <w:r>
        <w:t xml:space="preserve">Waterhemp sub-annual demographic parameters from empirical measurement</w:t>
      </w:r>
    </w:p>
    <w:bookmarkStart w:id="39" w:name="seedling-emergence-pattern-and-timing-1"/>
    <w:p>
      <w:pPr>
        <w:pStyle w:val="Heading3"/>
      </w:pPr>
      <w:r>
        <w:t xml:space="preserve">Seedling emergence pattern and timing</w:t>
      </w:r>
    </w:p>
    <w:p>
      <w:pPr>
        <w:pStyle w:val="FirstParagraph"/>
      </w:pPr>
      <w:r>
        <w:t xml:space="preserve">Within the same calendar year, cumulative whole-season and cohort-based seedling densities were lower in the warm-season crops than in the cool-season crops (Figure</w:t>
      </w:r>
      <w:r>
        <w:t xml:space="preserve"> </w:t>
      </w:r>
      <w:r>
        <w:t xml:space="preserve">2</w:t>
      </w:r>
      <w:r>
        <w:t xml:space="preserve">). Seedling emergence was delayed in the cool-season crops as compared to that in the warm-season crops (Tables</w:t>
      </w:r>
      <w:r>
        <w:t xml:space="preserve"> </w:t>
      </w:r>
      <w:r>
        <w:t xml:space="preserve">3</w:t>
      </w:r>
      <w:r>
        <w:t xml:space="preserve"> </w:t>
      </w:r>
      <w:r>
        <w:t xml:space="preserve">and</w:t>
      </w:r>
      <w:r>
        <w:t xml:space="preserve"> </w:t>
      </w:r>
      <w:r>
        <w:t xml:space="preserve">4</w:t>
      </w:r>
      <w:r>
        <w:t xml:space="preserve">). Waterhemp emergence was delayed by two weeks to a month in the alfalfa crop environment as compared to the corn and soybean environments. Waterhemp emergence was nine to sixteen days earlier in oat than in alfalfa.</w:t>
      </w:r>
    </w:p>
    <w:p>
      <w:pPr>
        <w:pStyle w:val="CaptionedFigure"/>
      </w:pPr>
      <w:r>
        <w:drawing>
          <wp:inline>
            <wp:extent cx="5334000" cy="5334000"/>
            <wp:effectExtent b="0" l="0" r="0" t="0"/>
            <wp:docPr descr="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title="" id="37" name="Picture"/>
            <a:graphic>
              <a:graphicData uri="http://schemas.openxmlformats.org/drawingml/2006/picture">
                <pic:pic>
                  <pic:nvPicPr>
                    <pic:cNvPr descr="results_files/figure-docx/seedlings-density-and-cumu-prop-2019-2020-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pPr>
        <w:pStyle w:val="TableCaption"/>
      </w:pPr>
      <w:r>
        <w:t xml:space="preserve">Table 3: 2019 and 2020 seedling emergence initiation in four crop environments (Julian’s date). Only the first seedling cohort was used as the response variable due to small sample sizes in the subsequent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0"/>
        <w:gridCol w:w="940"/>
        <w:gridCol w:w="605"/>
        <w:gridCol w:w="566"/>
        <w:gridCol w:w="940"/>
        <w:gridCol w:w="605"/>
        <w:gridCol w:w="566"/>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43"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41" w:hRule="auto"/>
        </w:trPr>
        body4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bl>
    <w:p>
      <w:pPr>
        <w:pStyle w:val="TableCaption"/>
      </w:pPr>
      <w:r>
        <w:t xml:space="preserve">Table 4: 2019 and 2020 seedling emergence timing (days)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605"/>
        <w:gridCol w:w="566"/>
        <w:gridCol w:w="882"/>
        <w:gridCol w:w="1025"/>
        <w:gridCol w:w="605"/>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corn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0.0596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soybean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2"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soybean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39"/>
    <w:bookmarkStart w:id="40" w:name="soil-seedbank-and-emergence-proportion"/>
    <w:p>
      <w:pPr>
        <w:pStyle w:val="Heading3"/>
      </w:pPr>
      <w:r>
        <w:t xml:space="preserve">2019 soil seedbank and emergence proportion</w:t>
      </w:r>
    </w:p>
    <w:p>
      <w:pPr>
        <w:pStyle w:val="FirstParagraph"/>
      </w:pPr>
      <w:r>
        <w:t xml:space="preserve">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w:t>
      </w:r>
      <w:r>
        <w:t xml:space="preserve"> </w:t>
      </w:r>
      <w:r>
        <w:t xml:space="preserve">5</w:t>
      </w:r>
      <w:r>
        <w:t xml:space="preserve">).</w:t>
      </w:r>
    </w:p>
    <w:p>
      <w:pPr>
        <w:pStyle w:val="TableCaption"/>
      </w:pPr>
      <w:r>
        <w:t xml:space="preserve">Table 5: 2019 seedbank densities (seeds per meter squared)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956"/>
        <w:gridCol w:w="878"/>
        <w:gridCol w:w="878"/>
        <w:gridCol w:w="878"/>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1,679.3</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567.5</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1,834.1</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1,639.1</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791.2</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1,151.4</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1,613.5</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1,421.8</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1,058.1</w:t>
            </w:r>
          </w:p>
        </w:tc>
      </w:tr>
    </w:tbl>
    <w:bookmarkEnd w:id="40"/>
    <w:bookmarkEnd w:id="41"/>
    <w:bookmarkStart w:id="44" w:name="waterhemp-population-growth-rates"/>
    <w:p>
      <w:pPr>
        <w:pStyle w:val="Heading2"/>
      </w:pPr>
      <w:r>
        <w:t xml:space="preserve">Waterhemp population growth rates</w:t>
      </w:r>
    </w:p>
    <w:p>
      <w:pPr>
        <w:pStyle w:val="FirstParagraph"/>
      </w:pPr>
      <w:r>
        <w:t xml:space="preserve">All the data sets for the empirically estimated sub-annual parameters were measured once. In 2019, individual plant size at maturity was measured for six cohorts in each quadrat of each eu and two stratum of soil seedbank were estimated between crop harvest and post-harvest tillage. In 2018, a different number of cohorts were followed in different crop environments because of limited labor availability and adverse weather conditions. 2019 data was used as scenario 1. Within the same rotation, a consistent pattern of top:bottom ratios of seed densities was observed between two corn weed management regimes. The seedbanks’ top : bottom partitioning differed between rotations and between crop phases of the same rotation.</w:t>
      </w:r>
    </w:p>
    <w:bookmarkStart w:id="42"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Nguyen and Liebman (2022a)</w:t>
      </w:r>
      <w:r>
        <w:t xml:space="preserve">, waterhemp population densities were projected to decrease in all treatments, except in the 4-year rotation with low herbicide corn weed management (</w:t>
      </w:r>
      <m:oMath>
        <m:r>
          <m:t>λ</m:t>
        </m:r>
        <m:d>
          <m:dPr>
            <m:begChr m:val="("/>
            <m:endChr m:val=")"/>
            <m:sepChr m:val=""/>
            <m:grow/>
          </m:dPr>
          <m:e>
            <m:r>
              <m:t>4</m:t>
            </m:r>
            <m:r>
              <m:rPr>
                <m:sty m:val="p"/>
              </m:rPr>
              <m:t>,</m:t>
            </m:r>
            <m:r>
              <m:t>l</m:t>
            </m:r>
            <m:r>
              <m:t>o</m:t>
            </m:r>
            <m:r>
              <m:t>w</m:t>
            </m:r>
          </m:e>
        </m:d>
      </m:oMath>
      <w:r>
        <w:t xml:space="preserve"> </w:t>
      </w:r>
      <w:r>
        <w:t xml:space="preserve">= 1.4) (Figure</w:t>
      </w:r>
      <w:r>
        <w:t xml:space="preserve"> </w:t>
      </w:r>
      <w:r>
        <w:t xml:space="preserve">3</w:t>
      </w:r>
      <w:r>
        <w:t xml:space="preserve">). Waterhemp populations were projected to decrease the most quickly in the 3-year and 4-year rotations under conventional herbicide corn weed management.</w:t>
      </w:r>
    </w:p>
    <w:p>
      <w:pPr>
        <w:pStyle w:val="BodyText"/>
      </w:pPr>
      <w:r>
        <w:t xml:space="preserve">The top and bottom soil strata were evenly populated at the completion of the corn phase in all rotations crossed with corn weed management treatments, but a smaller portion of the seedbank was in the top soil stratum than in the bottom soil stratum in the soybean phase of all the rotations crossed with corn weed management treatments, and in the alfalfa phase of the 4-year rotation regardless of the corn weed management regimes. The top soil stratum was less populated than the bottom soil stratum at the completion of O3 but more populated than the bottom soil stratum at the completion of O4.</w:t>
      </w:r>
    </w:p>
    <w:p>
      <w:pPr>
        <w:pStyle w:val="BodyText"/>
      </w:pPr>
      <w:r>
        <w:t xml:space="preserve">With the exception of the 4-year rotation in which corn was treated with low herbicide weed management, all the other treatments’ decline of waterhemp population was attributed to the steady decrease of population size in the crop phases after corn. Even though the 2-year and 3-year rotations were of similar annualized population growth (</w:t>
      </w:r>
      <m:oMath>
        <m:r>
          <m:t>λ</m:t>
        </m:r>
        <m:d>
          <m:dPr>
            <m:begChr m:val="("/>
            <m:endChr m:val=")"/>
            <m:sepChr m:val=""/>
            <m:grow/>
          </m:dPr>
          <m:e>
            <m:r>
              <m:t>2</m:t>
            </m:r>
            <m:r>
              <m:rPr>
                <m:sty m:val="p"/>
              </m:rPr>
              <m:t>,</m:t>
            </m:r>
            <m:r>
              <m:t>c</m:t>
            </m:r>
            <m:r>
              <m:t>o</m:t>
            </m:r>
            <m:r>
              <m:t>n</m:t>
            </m:r>
            <m:r>
              <m:t>v</m:t>
            </m:r>
          </m:e>
        </m:d>
        <m:r>
          <m:rPr>
            <m:sty m:val="p"/>
          </m:rPr>
          <m:t>=</m:t>
        </m:r>
        <m:r>
          <m:t>0.8</m:t>
        </m:r>
      </m:oMath>
      <w:r>
        <w:t xml:space="preserve">,</w:t>
      </w:r>
      <w:r>
        <w:t xml:space="preserve"> </w:t>
      </w:r>
      <m:oMath>
        <m:r>
          <m:t>λ</m:t>
        </m:r>
        <m:d>
          <m:dPr>
            <m:begChr m:val="("/>
            <m:endChr m:val=")"/>
            <m:sepChr m:val=""/>
            <m:grow/>
          </m:dPr>
          <m:e>
            <m:r>
              <m:t>2</m:t>
            </m:r>
            <m:r>
              <m:rPr>
                <m:sty m:val="p"/>
              </m:rPr>
              <m:t>,</m:t>
            </m:r>
            <m:r>
              <m:t>l</m:t>
            </m:r>
            <m:r>
              <m:t>o</m:t>
            </m:r>
            <m:r>
              <m:t>w</m:t>
            </m:r>
          </m:e>
        </m:d>
        <m:r>
          <m:rPr>
            <m:sty m:val="p"/>
          </m:rPr>
          <m:t>=</m:t>
        </m:r>
        <m:r>
          <m:t>0.9</m:t>
        </m:r>
      </m:oMath>
      <w:r>
        <w:t xml:space="preserve">,</w:t>
      </w:r>
      <w:r>
        <w:t xml:space="preserve"> </w:t>
      </w:r>
      <m:oMath>
        <m:r>
          <m:t>λ</m:t>
        </m:r>
        <m:d>
          <m:dPr>
            <m:begChr m:val="("/>
            <m:endChr m:val=")"/>
            <m:sepChr m:val=""/>
            <m:grow/>
          </m:dPr>
          <m:e>
            <m:r>
              <m:t>3</m:t>
            </m:r>
            <m:r>
              <m:rPr>
                <m:sty m:val="p"/>
              </m:rPr>
              <m:t>,</m:t>
            </m:r>
            <m:r>
              <m:t>c</m:t>
            </m:r>
            <m:r>
              <m:t>o</m:t>
            </m:r>
            <m:r>
              <m:t>n</m:t>
            </m:r>
            <m:r>
              <m:t>v</m:t>
            </m:r>
          </m:e>
        </m:d>
        <m:r>
          <m:rPr>
            <m:sty m:val="p"/>
          </m:rPr>
          <m:t>=</m:t>
        </m:r>
        <m:r>
          <m:t>0.7</m:t>
        </m:r>
      </m:oMath>
      <w:r>
        <w:t xml:space="preserve">, and</w:t>
      </w:r>
      <w:r>
        <w:t xml:space="preserve"> </w:t>
      </w:r>
      <m:oMath>
        <m:r>
          <m:t>λ</m:t>
        </m:r>
        <m:d>
          <m:dPr>
            <m:begChr m:val="("/>
            <m:endChr m:val=")"/>
            <m:sepChr m:val=""/>
            <m:grow/>
          </m:dPr>
          <m:e>
            <m:r>
              <m:t>3</m:t>
            </m:r>
            <m:r>
              <m:rPr>
                <m:sty m:val="p"/>
              </m:rPr>
              <m:t>,</m:t>
            </m:r>
            <m:r>
              <m:t>l</m:t>
            </m:r>
            <m:r>
              <m:t>o</m:t>
            </m:r>
            <m:r>
              <m:t>w</m:t>
            </m:r>
          </m:e>
        </m:d>
        <m:r>
          <m:rPr>
            <m:sty m:val="p"/>
          </m:rPr>
          <m:t>=</m:t>
        </m:r>
        <m:r>
          <m:t>0.9</m:t>
        </m:r>
      </m:oMath>
      <w:r>
        <w:t xml:space="preserve">), larger proportion of the seedbank was buried in the bottom soil stratum in the 3-year rotation, which can shrink the available seed pool for germination.</w:t>
      </w:r>
    </w:p>
    <w:bookmarkEnd w:id="42"/>
    <w:bookmarkStart w:id="43" w:name="scenario-2"/>
    <w:p>
      <w:pPr>
        <w:pStyle w:val="Heading3"/>
      </w:pPr>
      <w:r>
        <w:t xml:space="preserve">Scenario 2</w:t>
      </w:r>
    </w:p>
    <w:p>
      <w:pPr>
        <w:pStyle w:val="FirstParagraph"/>
      </w:pPr>
      <w:r>
        <w:t xml:space="preserve">Using 2018 fecundity rates, waterhemp population densities would increase rapidly in all rotations (Figure</w:t>
      </w:r>
      <w:r>
        <w:t xml:space="preserve"> </w:t>
      </w:r>
      <w:r>
        <w:t xml:space="preserve">5</w:t>
      </w:r>
      <w:r>
        <w:t xml:space="preserve">) , but most quickly in the 2-year rotation (</w:t>
      </w:r>
      <m:oMath>
        <m:r>
          <m:t>λ</m:t>
        </m:r>
        <m:d>
          <m:dPr>
            <m:begChr m:val="("/>
            <m:endChr m:val=")"/>
            <m:sepChr m:val=""/>
            <m:grow/>
          </m:dPr>
          <m:e>
            <m:r>
              <m:t>2</m:t>
            </m:r>
            <m:r>
              <m:rPr>
                <m:sty m:val="p"/>
              </m:rPr>
              <m:t>,</m:t>
            </m:r>
            <m:r>
              <m:t>c</m:t>
            </m:r>
            <m:r>
              <m:t>o</m:t>
            </m:r>
            <m:r>
              <m:t>n</m:t>
            </m:r>
            <m:r>
              <m:t>v</m:t>
            </m:r>
          </m:e>
        </m:d>
        <m:r>
          <m:rPr>
            <m:sty m:val="p"/>
          </m:rPr>
          <m:t>=</m:t>
        </m:r>
        <m:r>
          <m:t>59.4</m:t>
        </m:r>
      </m:oMath>
      <w:r>
        <w:t xml:space="preserve"> </w:t>
      </w:r>
      <w:r>
        <w:t xml:space="preserve">and</w:t>
      </w:r>
      <w:r>
        <w:t xml:space="preserve"> </w:t>
      </w:r>
      <m:oMath>
        <m:r>
          <m:t>λ</m:t>
        </m:r>
        <m:d>
          <m:dPr>
            <m:begChr m:val="("/>
            <m:endChr m:val=")"/>
            <m:sepChr m:val=""/>
            <m:grow/>
          </m:dPr>
          <m:e>
            <m:r>
              <m:t>2</m:t>
            </m:r>
            <m:r>
              <m:rPr>
                <m:sty m:val="p"/>
              </m:rPr>
              <m:t>,</m:t>
            </m:r>
            <m:r>
              <m:t>l</m:t>
            </m:r>
            <m:r>
              <m:t>o</m:t>
            </m:r>
            <m:r>
              <m:t>w</m:t>
            </m:r>
          </m:e>
        </m:d>
        <m:r>
          <m:rPr>
            <m:sty m:val="p"/>
          </m:rPr>
          <m:t>=</m:t>
        </m:r>
        <m:r>
          <m:t>333.3</m:t>
        </m:r>
      </m:oMath>
      <w:r>
        <w:t xml:space="preserve">). In the more diverse rotations (3-year and 4-year), waterhemp population increased at lower annualized rates if the corn phase was treated with low herbicide weed management (</w:t>
      </w:r>
      <m:oMath>
        <m:r>
          <m:t>λ</m:t>
        </m:r>
        <m:d>
          <m:dPr>
            <m:begChr m:val="("/>
            <m:endChr m:val=")"/>
            <m:sepChr m:val=""/>
            <m:grow/>
          </m:dPr>
          <m:e>
            <m:r>
              <m:t>3</m:t>
            </m:r>
            <m:r>
              <m:rPr>
                <m:sty m:val="p"/>
              </m:rPr>
              <m:t>,</m:t>
            </m:r>
            <m:r>
              <m:t>c</m:t>
            </m:r>
            <m:r>
              <m:t>o</m:t>
            </m:r>
            <m:r>
              <m:t>n</m:t>
            </m:r>
            <m:r>
              <m:t>v</m:t>
            </m:r>
          </m:e>
        </m:d>
        <m:r>
          <m:rPr>
            <m:sty m:val="p"/>
          </m:rPr>
          <m:t>=</m:t>
        </m:r>
        <m:r>
          <m:t>48.4</m:t>
        </m:r>
      </m:oMath>
      <w:r>
        <w:t xml:space="preserve">,</w:t>
      </w:r>
      <w:r>
        <w:t xml:space="preserve"> </w:t>
      </w:r>
      <m:oMath>
        <m:r>
          <m:t>λ</m:t>
        </m:r>
        <m:d>
          <m:dPr>
            <m:begChr m:val="("/>
            <m:endChr m:val=")"/>
            <m:sepChr m:val=""/>
            <m:grow/>
          </m:dPr>
          <m:e>
            <m:r>
              <m:t>3</m:t>
            </m:r>
            <m:r>
              <m:rPr>
                <m:sty m:val="p"/>
              </m:rPr>
              <m:t>,</m:t>
            </m:r>
            <m:r>
              <m:t>l</m:t>
            </m:r>
            <m:r>
              <m:t>o</m:t>
            </m:r>
            <m:r>
              <m:t>w</m:t>
            </m:r>
          </m:e>
        </m:d>
        <m:r>
          <m:rPr>
            <m:sty m:val="p"/>
          </m:rPr>
          <m:t>=</m:t>
        </m:r>
        <m:r>
          <m:t>28.5</m:t>
        </m:r>
      </m:oMath>
      <w:r>
        <w:t xml:space="preserve">,</w:t>
      </w:r>
      <w:r>
        <w:t xml:space="preserve"> </w:t>
      </w:r>
      <m:oMath>
        <m:r>
          <m:t>λ</m:t>
        </m:r>
        <m:d>
          <m:dPr>
            <m:begChr m:val="("/>
            <m:endChr m:val=")"/>
            <m:sepChr m:val=""/>
            <m:grow/>
          </m:dPr>
          <m:e>
            <m:r>
              <m:t>4</m:t>
            </m:r>
            <m:r>
              <m:rPr>
                <m:sty m:val="p"/>
              </m:rPr>
              <m:t>,</m:t>
            </m:r>
            <m:r>
              <m:t>c</m:t>
            </m:r>
            <m:r>
              <m:t>o</m:t>
            </m:r>
            <m:r>
              <m:t>n</m:t>
            </m:r>
            <m:r>
              <m:t>v</m:t>
            </m:r>
          </m:e>
        </m:d>
        <m:r>
          <m:rPr>
            <m:sty m:val="p"/>
          </m:rPr>
          <m:t>=</m:t>
        </m:r>
        <m:r>
          <m:t>14.7</m:t>
        </m:r>
      </m:oMath>
      <w:r>
        <w:t xml:space="preserve"> </w:t>
      </w:r>
      <w:r>
        <w:t xml:space="preserve">and</w:t>
      </w:r>
      <w:r>
        <w:t xml:space="preserve"> </w:t>
      </w:r>
      <m:oMath>
        <m:r>
          <m:t>λ</m:t>
        </m:r>
        <m:d>
          <m:dPr>
            <m:begChr m:val="("/>
            <m:endChr m:val=")"/>
            <m:sepChr m:val=""/>
            <m:grow/>
          </m:dPr>
          <m:e>
            <m:r>
              <m:t>4</m:t>
            </m:r>
            <m:r>
              <m:rPr>
                <m:sty m:val="p"/>
              </m:rPr>
              <m:t>,</m:t>
            </m:r>
            <m:r>
              <m:t>l</m:t>
            </m:r>
            <m:r>
              <m:t>o</m:t>
            </m:r>
            <m:r>
              <m:t>w</m:t>
            </m:r>
          </m:e>
        </m:d>
        <m:r>
          <m:rPr>
            <m:sty m:val="p"/>
          </m:rPr>
          <m:t>=</m:t>
        </m:r>
        <m:r>
          <m:t>10.5</m:t>
        </m:r>
      </m:oMath>
      <w:r>
        <w:t xml:space="preserve">). This trend suggests possible elevated herbicide resistance in the treatments in which corn was managed with conventional herbicide, as organisms developed resistance to the strongest selection factor against them.</w:t>
      </w:r>
    </w:p>
    <w:p>
      <w:pPr>
        <w:pStyle w:val="BodyText"/>
      </w:pPr>
      <w:r>
        <w:t xml:space="preserve">The top and bottom soil strata were fairly evenly populated at the completion of the corn phase, but a larger portion of the seedbanks were in the top soil stratum at the completion of the soybean phase in the 2-year and 3-year rotations (S2 and S3). The top : bottom soil stratum seed density partition in the soybean phase of the 4-year rotation (S4) was on-and-off, in which the top stratum was projected to be more populated in one model cycle (four years) but less populated in another model cycle. The top soil stratum was less populated than the bottom soil stratum at the completion of O3, but more population than the bottom soil stratum at the completion of O4. The top soil stratum in the alfalfa phase was more populated than the bottom soil stratum. The alfalfa phase of the 4-year rotation (A4) offered an opportunity for decreasing</w:t>
      </w:r>
      <w:r>
        <w:t xml:space="preserve"> </w:t>
      </w:r>
      <m:oMath>
        <m:r>
          <m:t>λ</m:t>
        </m:r>
      </m:oMath>
      <w:r>
        <w:t xml:space="preserve">, which was not possible in any other crop phases in the three examined rotations. However, the declines in and A4 (</w:t>
      </w:r>
      <m:oMath>
        <m:r>
          <m:t>λ</m:t>
        </m:r>
        <m:d>
          <m:dPr>
            <m:begChr m:val="("/>
            <m:endChr m:val=")"/>
            <m:sepChr m:val=""/>
            <m:grow/>
          </m:dPr>
          <m:e>
            <m:r>
              <m:t>A</m:t>
            </m:r>
            <m:r>
              <m:t>4</m:t>
            </m:r>
            <m:r>
              <m:rPr>
                <m:sty m:val="p"/>
              </m:rPr>
              <m:t>,</m:t>
            </m:r>
            <m:r>
              <m:t>c</m:t>
            </m:r>
            <m:r>
              <m:t>o</m:t>
            </m:r>
            <m:r>
              <m:t>n</m:t>
            </m:r>
            <m:r>
              <m:t>v</m:t>
            </m:r>
          </m:e>
        </m:d>
      </m:oMath>
      <w:r>
        <w:t xml:space="preserve"> </w:t>
      </w:r>
      <w:r>
        <w:t xml:space="preserve">= 0.6 and</w:t>
      </w:r>
      <w:r>
        <w:t xml:space="preserve"> </w:t>
      </w:r>
      <m:oMath>
        <m:r>
          <m:t>λ</m:t>
        </m:r>
        <m:d>
          <m:dPr>
            <m:begChr m:val="("/>
            <m:endChr m:val=")"/>
            <m:sepChr m:val=""/>
            <m:grow/>
          </m:dPr>
          <m:e>
            <m:r>
              <m:t>A</m:t>
            </m:r>
            <m:r>
              <m:t>4</m:t>
            </m:r>
            <m:r>
              <m:rPr>
                <m:sty m:val="p"/>
              </m:rPr>
              <m:t>,</m:t>
            </m:r>
            <m:r>
              <m:t>l</m:t>
            </m:r>
            <m:r>
              <m:t>o</m:t>
            </m:r>
            <m:r>
              <m:t>w</m:t>
            </m:r>
          </m:e>
        </m:d>
      </m:oMath>
      <w:r>
        <w:t xml:space="preserve"> </w:t>
      </w:r>
      <w:r>
        <w:t xml:space="preserve">= 0.5) were not strong enough to deplete the replenishment from the corn (</w:t>
      </w:r>
      <m:oMath>
        <m:r>
          <m:t>λ</m:t>
        </m:r>
        <m:d>
          <m:dPr>
            <m:begChr m:val="("/>
            <m:endChr m:val=")"/>
            <m:sepChr m:val=""/>
            <m:grow/>
          </m:dPr>
          <m:e>
            <m:r>
              <m:t>C</m:t>
            </m:r>
            <m:r>
              <m:t>4</m:t>
            </m:r>
            <m:r>
              <m:rPr>
                <m:sty m:val="p"/>
              </m:rPr>
              <m:t>,</m:t>
            </m:r>
            <m:r>
              <m:t>c</m:t>
            </m:r>
            <m:r>
              <m:t>o</m:t>
            </m:r>
            <m:r>
              <m:t>n</m:t>
            </m:r>
            <m:r>
              <m:t>v</m:t>
            </m:r>
          </m:e>
        </m:d>
      </m:oMath>
      <w:r>
        <w:t xml:space="preserve"> </w:t>
      </w:r>
      <w:r>
        <w:t xml:space="preserve">= 29.7, and</w:t>
      </w:r>
      <w:r>
        <w:t xml:space="preserve"> </w:t>
      </w:r>
      <m:oMath>
        <m:r>
          <m:t>λ</m:t>
        </m:r>
        <m:d>
          <m:dPr>
            <m:begChr m:val="("/>
            <m:endChr m:val=")"/>
            <m:sepChr m:val=""/>
            <m:grow/>
          </m:dPr>
          <m:e>
            <m:r>
              <m:t>C</m:t>
            </m:r>
            <m:r>
              <m:t>4</m:t>
            </m:r>
            <m:r>
              <m:rPr>
                <m:sty m:val="p"/>
              </m:rPr>
              <m:t>,</m:t>
            </m:r>
            <m:r>
              <m:t>l</m:t>
            </m:r>
            <m:r>
              <m:t>o</m:t>
            </m:r>
            <m:r>
              <m:t>w</m:t>
            </m:r>
          </m:e>
        </m:d>
      </m:oMath>
      <w:r>
        <w:t xml:space="preserve"> </w:t>
      </w:r>
      <w:r>
        <w:t xml:space="preserve">= 87.3) and soybean phases (</w:t>
      </w:r>
      <m:oMath>
        <m:r>
          <m:t>λ</m:t>
        </m:r>
        <m:d>
          <m:dPr>
            <m:begChr m:val="("/>
            <m:endChr m:val=")"/>
            <m:sepChr m:val=""/>
            <m:grow/>
          </m:dPr>
          <m:e>
            <m:r>
              <m:t>S</m:t>
            </m:r>
            <m:r>
              <m:t>4</m:t>
            </m:r>
            <m:r>
              <m:rPr>
                <m:sty m:val="p"/>
              </m:rPr>
              <m:t>,</m:t>
            </m:r>
            <m:r>
              <m:t>c</m:t>
            </m:r>
            <m:r>
              <m:t>o</m:t>
            </m:r>
            <m:r>
              <m:t>n</m:t>
            </m:r>
            <m:r>
              <m:t>v</m:t>
            </m:r>
          </m:e>
        </m:d>
      </m:oMath>
      <w:r>
        <w:t xml:space="preserve"> </w:t>
      </w:r>
      <w:r>
        <w:t xml:space="preserve">= 773.7, and</w:t>
      </w:r>
      <w:r>
        <w:t xml:space="preserve"> </w:t>
      </w:r>
      <m:oMath>
        <m:r>
          <m:t>λ</m:t>
        </m:r>
        <m:d>
          <m:dPr>
            <m:begChr m:val="("/>
            <m:endChr m:val=")"/>
            <m:sepChr m:val=""/>
            <m:grow/>
          </m:dPr>
          <m:e>
            <m:r>
              <m:t>S</m:t>
            </m:r>
            <m:r>
              <m:t>4</m:t>
            </m:r>
            <m:r>
              <m:rPr>
                <m:sty m:val="p"/>
              </m:rPr>
              <m:t>,</m:t>
            </m:r>
            <m:r>
              <m:t>l</m:t>
            </m:r>
            <m:r>
              <m:t>o</m:t>
            </m:r>
            <m:r>
              <m:t>w</m:t>
            </m:r>
          </m:e>
        </m:d>
      </m:oMath>
      <w:r>
        <w:t xml:space="preserve"> </w:t>
      </w:r>
      <w:r>
        <w:t xml:space="preserve">= 92.1).</w:t>
      </w:r>
    </w:p>
    <w:bookmarkEnd w:id="43"/>
    <w:bookmarkEnd w:id="44"/>
    <w:bookmarkStart w:id="59" w:name="X8a4ebe6198ba80a5bf8de425b91b68b7165c00e"/>
    <w:p>
      <w:pPr>
        <w:pStyle w:val="Heading2"/>
      </w:pPr>
      <w:r>
        <w:rPr>
          <w:rStyle w:val="SectionNumber"/>
        </w:rPr>
        <w:t xml:space="preserve">0.1</w:t>
      </w:r>
      <w:r>
        <w:tab/>
      </w:r>
      <w:r>
        <w:t xml:space="preserve">Elasticities of popilation growth rates to lower-level demographic parameters {-}</w:t>
      </w:r>
      <w:r>
        <w:t xml:space="preserve"> </w:t>
      </w:r>
      <w:r>
        <w:rPr>
          <w:bCs/>
          <w:b/>
        </w:rPr>
        <w:t xml:space="preserve">remove</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6</w:t>
      </w:r>
      <w:r>
        <w:t xml:space="preserve">). However, the overall population change rate can be reflected by the relative importance of each</w:t>
      </w:r>
      <w:r>
        <w:t xml:space="preserve"> </w:t>
      </w:r>
      <m:oMath>
        <m:sSub>
          <m:e>
            <m:r>
              <m:t>b</m:t>
            </m:r>
          </m:e>
          <m:sub>
            <m:r>
              <m:t>i</m:t>
            </m:r>
            <m:r>
              <m:t>j</m:t>
            </m:r>
          </m:sub>
        </m:sSub>
      </m:oMath>
      <w:r>
        <w:t xml:space="preserve"> </w:t>
      </w:r>
      <w:r>
        <w:t xml:space="preserve">element on the elasticity of</w:t>
      </w:r>
      <w:r>
        <w:t xml:space="preserve"> </w:t>
      </w:r>
      <m:oMath>
        <m:r>
          <m:t>λ</m:t>
        </m:r>
      </m:oMath>
      <w:r>
        <w:t xml:space="preserve">.</w:t>
      </w:r>
    </w:p>
    <w:p>
      <w:pPr>
        <w:pStyle w:val="BodyText"/>
      </w:pPr>
      <w:r>
        <w:t xml:space="preserve">Even though all the</w:t>
      </w:r>
      <w:r>
        <w:t xml:space="preserve"> </w:t>
      </w:r>
      <m:oMath>
        <m:sSub>
          <m:e>
            <m:r>
              <m:t>B</m:t>
            </m:r>
          </m:e>
          <m:sub>
            <m:r>
              <m:t>h</m:t>
            </m:r>
          </m:sub>
        </m:sSub>
      </m:oMath>
      <w:r>
        <w:t xml:space="preserve"> </w:t>
      </w:r>
      <w:r>
        <w:t xml:space="preserve">matrices, but</w:t>
      </w:r>
      <w:r>
        <w:t xml:space="preserve"> </w:t>
      </w:r>
      <m:oMath>
        <m:sSub>
          <m:e>
            <m:r>
              <m:t>B</m:t>
            </m:r>
          </m:e>
          <m:sub>
            <m:r>
              <m:t>f</m:t>
            </m:r>
          </m:sub>
        </m:sSub>
      </m:oMath>
      <w:r>
        <w:t xml:space="preserve">, were identical across scenarios, the ranking of each</w:t>
      </w:r>
      <w:r>
        <w:t xml:space="preserve"> </w:t>
      </w:r>
      <m:oMath>
        <m:sSub>
          <m:e>
            <m:r>
              <m:t>b</m:t>
            </m:r>
          </m:e>
          <m:sub>
            <m:r>
              <m:t>i</m:t>
            </m:r>
            <m:r>
              <m:t>j</m:t>
            </m:r>
          </m:sub>
        </m:sSub>
      </m:oMath>
      <w:r>
        <w:t xml:space="preserve"> </w:t>
      </w:r>
      <w:r>
        <w:t xml:space="preserve">element contribution to the elasticity of</w:t>
      </w:r>
      <w:r>
        <w:t xml:space="preserve"> </w:t>
      </w:r>
      <m:oMath>
        <m:r>
          <m:t>λ</m:t>
        </m:r>
      </m:oMath>
      <w:r>
        <w:t xml:space="preserve"> </w:t>
      </w:r>
      <w:r>
        <w:t xml:space="preserve">might be slightly different across scenarios. For example, the the</w:t>
      </w:r>
      <w:r>
        <w:t xml:space="preserve"> </w:t>
      </w:r>
      <m:oMath>
        <m:r>
          <m:t>λ</m:t>
        </m:r>
      </m:oMath>
      <w:r>
        <w:t xml:space="preserve">-decreasing case, the relative ranks of</w:t>
      </w:r>
      <w:r>
        <w:t xml:space="preserve"> </w:t>
      </w:r>
      <m:oMath>
        <m:sSub>
          <m:e>
            <m:r>
              <m:t>t</m:t>
            </m:r>
          </m:e>
          <m:sub>
            <m:sSub>
              <m:e>
                <m:r>
                  <m:t>22</m:t>
                </m:r>
              </m:e>
              <m:sub>
                <m:r>
                  <m:t>s</m:t>
                </m:r>
              </m:sub>
            </m:sSub>
          </m:sub>
        </m:sSub>
      </m:oMath>
      <w:r>
        <w:t xml:space="preserve"> </w:t>
      </w:r>
      <w:r>
        <w:t xml:space="preserve">(the probability that a seed in the 2-20 cm stratum stay at that stratum) was higher that those of other</w:t>
      </w:r>
      <w:r>
        <w:t xml:space="preserve"> </w:t>
      </w:r>
      <m:oMath>
        <m:sSub>
          <m:e>
            <m:r>
              <m:t>t</m:t>
            </m:r>
          </m:e>
          <m:sub>
            <m:r>
              <m:t>i</m:t>
            </m:r>
            <m:sSub>
              <m:e>
                <m:r>
                  <m:t>j</m:t>
                </m:r>
              </m:e>
              <m:sub>
                <m:r>
                  <m:t>s</m:t>
                </m:r>
              </m:sub>
            </m:sSub>
          </m:sub>
        </m:sSub>
      </m:oMath>
      <w:r>
        <w:t xml:space="preserve">, whereas</w:t>
      </w:r>
      <w:r>
        <w:t xml:space="preserve"> </w:t>
      </w:r>
      <m:oMath>
        <m:sSub>
          <m:e>
            <m:r>
              <m:t>t</m:t>
            </m:r>
          </m:e>
          <m:sub>
            <m:sSub>
              <m:e>
                <m:r>
                  <m:t>22</m:t>
                </m:r>
              </m:e>
              <m:sub>
                <m:r>
                  <m:t>s</m:t>
                </m:r>
              </m:sub>
            </m:sSub>
          </m:sub>
        </m:sSub>
      </m:oMath>
      <w:r>
        <w:t xml:space="preserve"> </w:t>
      </w:r>
      <w:r>
        <w:t xml:space="preserve">in the population-growing case was the lowest among all</w:t>
      </w:r>
      <w:r>
        <w:t xml:space="preserve"> </w:t>
      </w:r>
      <m:oMath>
        <m:sSub>
          <m:e>
            <m:r>
              <m:t>t</m:t>
            </m:r>
          </m:e>
          <m:sub>
            <m:r>
              <m:t>i</m:t>
            </m:r>
            <m:sSub>
              <m:e>
                <m:r>
                  <m:t>j</m:t>
                </m:r>
              </m:e>
              <m:sub>
                <m:r>
                  <m:t>s</m:t>
                </m:r>
              </m:sub>
            </m:sSub>
          </m:sub>
        </m:sSub>
      </m:oMath>
      <w:r>
        <w:t xml:space="preserve">. Similarly,</w:t>
      </w:r>
      <w:r>
        <w:t xml:space="preserve"> </w:t>
      </w:r>
      <m:oMath>
        <m:sSub>
          <m:e>
            <m:r>
              <m:t>s</m:t>
            </m:r>
          </m:e>
          <m:sub>
            <m:r>
              <m:t>s</m:t>
            </m:r>
            <m:r>
              <m:t>2</m:t>
            </m:r>
          </m:sub>
        </m:sSub>
      </m:oMath>
      <w:r>
        <w:t xml:space="preserve"> </w:t>
      </w:r>
      <w:r>
        <w:t xml:space="preserve">was more important than</w:t>
      </w:r>
      <w:r>
        <w:t xml:space="preserve"> </w:t>
      </w:r>
      <m:oMath>
        <m:sSub>
          <m:e>
            <m:r>
              <m:t>s</m:t>
            </m:r>
          </m:e>
          <m:sub>
            <m:r>
              <m:t>s</m:t>
            </m:r>
            <m:r>
              <m:t>1</m:t>
            </m:r>
          </m:sub>
        </m:sSub>
      </m:oMath>
      <w:r>
        <w:t xml:space="preserve"> </w:t>
      </w:r>
      <w:r>
        <w:t xml:space="preserve">in the elasticity of</w:t>
      </w:r>
      <w:r>
        <w:t xml:space="preserve"> </w:t>
      </w:r>
      <m:oMath>
        <m:r>
          <m:t>λ</m:t>
        </m:r>
      </m:oMath>
      <w:r>
        <w:t xml:space="preserve"> </w:t>
      </w:r>
      <w:r>
        <w:t xml:space="preserve">in the population-shrinking versus population-growing case. Consistent patterns in the importance of</w:t>
      </w:r>
      <w:r>
        <w:t xml:space="preserve"> </w:t>
      </w:r>
      <m:oMath>
        <m:sSub>
          <m:e>
            <m:r>
              <m:t>t</m:t>
            </m:r>
          </m:e>
          <m:sub>
            <m:r>
              <m:t>i</m:t>
            </m:r>
            <m:sSub>
              <m:e>
                <m:r>
                  <m:t>j</m:t>
                </m:r>
              </m:e>
              <m:sub>
                <m:r>
                  <m:t>f</m:t>
                </m:r>
              </m:sub>
            </m:sSub>
          </m:sub>
        </m:sSub>
      </m:oMath>
      <w:r>
        <w:t xml:space="preserve"> </w:t>
      </w:r>
      <w:r>
        <w:t xml:space="preserve">to elasticity of</w:t>
      </w:r>
      <w:r>
        <w:t xml:space="preserve"> </w:t>
      </w:r>
      <m:oMath>
        <m:r>
          <m:t>λ</m:t>
        </m:r>
      </m:oMath>
      <w:r>
        <w:t xml:space="preserve"> </w:t>
      </w:r>
      <w:r>
        <w:t xml:space="preserve">was observed in the two scenarios.</w:t>
      </w:r>
    </w:p>
    <w:p>
      <w:pPr>
        <w:pStyle w:val="BodyText"/>
      </w:pPr>
      <w:r>
        <w:t xml:space="preserve">Because seed emergence and seedling survival rate contributed minimally to the elasticity of</w:t>
      </w:r>
      <w:r>
        <w:t xml:space="preserve"> </w:t>
      </w:r>
      <m:oMath>
        <m:r>
          <m:t>λ</m:t>
        </m:r>
      </m:oMath>
      <w:r>
        <w:t xml:space="preserve">, this pattern suggests that even if weed control programs are of high, or even total efficacy, very few surviving plants prolifically producing new seeds, can sustain the population. The low relative importance of</w:t>
      </w:r>
      <w:r>
        <w:t xml:space="preserve"> </w:t>
      </w:r>
      <m:oMath>
        <m:sSub>
          <m:e>
            <m:r>
              <m:t>g</m:t>
            </m:r>
          </m:e>
          <m:sub>
            <m:r>
              <m:t>k</m:t>
            </m:r>
          </m:sub>
        </m:sSub>
      </m:oMath>
      <w:r>
        <w:t xml:space="preserve"> </w:t>
      </w:r>
      <w:r>
        <w:t xml:space="preserve">and</w:t>
      </w:r>
      <w:r>
        <w:t xml:space="preserve"> </w:t>
      </w:r>
      <m:oMath>
        <m:sSub>
          <m:e>
            <m:r>
              <m:t>s</m:t>
            </m:r>
          </m:e>
          <m:sub>
            <m:sSub>
              <m:e>
                <m:r>
                  <m:t>p</m:t>
                </m:r>
              </m:e>
              <m:sub>
                <m:r>
                  <m:t>k</m:t>
                </m:r>
              </m:sub>
            </m:sSub>
          </m:sub>
        </m:sSub>
      </m:oMath>
      <w:r>
        <w:t xml:space="preserve"> </w:t>
      </w:r>
      <w:r>
        <w:t xml:space="preserve">can be attributed to the low emergence rate in weeds, the high weed control efficacy, while the high relative importance of of</w:t>
      </w:r>
      <w:r>
        <w:t xml:space="preserve"> </w:t>
      </w:r>
      <m:oMath>
        <m:sSub>
          <m:e>
            <m:r>
              <m:t>f</m:t>
            </m:r>
          </m:e>
          <m:sub>
            <m:r>
              <m:t>k</m:t>
            </m:r>
          </m:sub>
        </m:sSub>
      </m:oMath>
      <w:r>
        <w:t xml:space="preserve"> </w:t>
      </w:r>
      <w:r>
        <w:t xml:space="preserve">to elasticity of</w:t>
      </w:r>
      <w:r>
        <w:t xml:space="preserve"> </w:t>
      </w:r>
      <m:oMath>
        <m:r>
          <m:t>λ</m:t>
        </m:r>
      </m:oMath>
      <w:r>
        <w:t xml:space="preserve"> </w:t>
      </w:r>
      <w:r>
        <w:t xml:space="preserve">can be explained by the high individual fecundity.</w:t>
      </w:r>
    </w:p>
    <w:p>
      <w:pPr>
        <w:pStyle w:val="BodyText"/>
      </w:pPr>
      <w:r>
        <w:t xml:space="preserve">In both scenarios, the patterns of contribution to elasticity of</w:t>
      </w:r>
      <w:r>
        <w:t xml:space="preserve"> </w:t>
      </w:r>
      <m:oMath>
        <m:r>
          <m:t>λ</m:t>
        </m:r>
      </m:oMath>
      <w:r>
        <w:t xml:space="preserve"> </w:t>
      </w:r>
      <w:r>
        <w:t xml:space="preserve">in the 3-year rotation was slightly different from the 2-year and 4-year rotations. The contribution of plant survival rate to elasticity of</w:t>
      </w:r>
      <w:r>
        <w:t xml:space="preserve"> </w:t>
      </w:r>
      <m:oMath>
        <m:r>
          <m:t>λ</m:t>
        </m:r>
      </m:oMath>
      <w:r>
        <w:t xml:space="preserve"> </w:t>
      </w:r>
      <w:r>
        <w:t xml:space="preserve">was non-existent in C2, S2, C4, S4, and O4 (absolute zeroes) but minimal in C3, S3, and O4 (very small positive values). The difference in contribution of plant survival rate on O3 and O4 might be attributed to the different companion crops to oat (red clover in O3 and alfalfa in O4).</w:t>
      </w:r>
    </w:p>
    <w:bookmarkStart w:id="45"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(Figure</w:t>
      </w:r>
      <w:r>
        <w:t xml:space="preserve"> </w:t>
      </w:r>
      <w:r>
        <w:t xml:space="preserve">4</w:t>
      </w:r>
      <w:r>
        <w:t xml:space="preserv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declined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remained adequate.</w:t>
      </w:r>
    </w:p>
    <w:bookmarkEnd w:id="45"/>
    <w:bookmarkStart w:id="58" w:name="scenario-2-1"/>
    <w:p>
      <w:pPr>
        <w:pStyle w:val="Heading3"/>
      </w:pPr>
      <w:r>
        <w:t xml:space="preserve">Scenario 2</w:t>
      </w:r>
    </w:p>
    <w:p>
      <w:pPr>
        <w:pStyle w:val="FirstParagraph"/>
      </w:pPr>
      <w:r>
        <w:t xml:space="preserve">Unlike Scenario 1’s dynamics, the differences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(Figure</w:t>
      </w:r>
      <w:r>
        <w:t xml:space="preserve"> </w:t>
      </w:r>
      <w:r>
        <w:t xml:space="preserve">6</w:t>
      </w:r>
      <w:r>
        <w:t xml:space="preserve">). The elasticity of</w:t>
      </w:r>
      <w:r>
        <w:t xml:space="preserve"> </w:t>
      </w:r>
      <m:oMath>
        <m:r>
          <m:t>λ</m:t>
        </m:r>
      </m:oMath>
      <w:r>
        <w:t xml:space="preserve">’s to cohort one fecundity were the highest in C2 (4.02 x</w:t>
      </w:r>
      <w:r>
        <w:t xml:space="preserve"> </w:t>
      </w:r>
      <m:oMath>
        <m:sSup>
          <m:e>
            <m:r>
              <m:t>10</m:t>
            </m:r>
          </m:e>
          <m:sup>
            <m:r>
              <m:t>6</m:t>
            </m:r>
          </m:sup>
        </m:sSup>
      </m:oMath>
      <w:r>
        <w:t xml:space="preserve"> </w:t>
      </w:r>
      <w:r>
        <w:t xml:space="preserve">and 3.44 x</w:t>
      </w:r>
      <w:r>
        <w:t xml:space="preserve"> </w:t>
      </w:r>
      <m:oMath>
        <m:sSup>
          <m:e>
            <m:r>
              <m:t>10</m:t>
            </m:r>
          </m:e>
          <m:sup>
            <m:r>
              <m:t>6</m:t>
            </m:r>
          </m:sup>
        </m:sSup>
      </m:oMath>
      <w:r>
        <w:t xml:space="preserve">), S3 (1.33 x</w:t>
      </w:r>
      <w:r>
        <w:t xml:space="preserve"> </w:t>
      </w:r>
      <m:oMath>
        <m:sSup>
          <m:e>
            <m:r>
              <m:t>10</m:t>
            </m:r>
          </m:e>
          <m:sup>
            <m:r>
              <m:t>6</m:t>
            </m:r>
          </m:sup>
        </m:sSup>
      </m:oMath>
      <w:r>
        <w:t xml:space="preserve"> </w:t>
      </w:r>
      <w:r>
        <w:t xml:space="preserve">and 1.61 x</w:t>
      </w:r>
      <w:r>
        <w:t xml:space="preserve"> </w:t>
      </w:r>
      <m:oMath>
        <m:sSup>
          <m:e>
            <m:r>
              <m:t>10</m:t>
            </m:r>
          </m:e>
          <m:sup>
            <m:r>
              <m:t>6</m:t>
            </m:r>
          </m:sup>
        </m:sSup>
      </m:oMath>
      <w:r>
        <w:t xml:space="preserve">), and O4 (682.28 and 1531.97) phases. The elasticity of</w:t>
      </w:r>
      <w:r>
        <w:t xml:space="preserve"> </w:t>
      </w:r>
      <m:oMath>
        <m:sSub>
          <m:e>
            <m:r>
              <m:t>λ</m:t>
            </m:r>
          </m:e>
          <m:sub>
            <m:r>
              <m:t>r</m:t>
            </m:r>
          </m:sub>
        </m:sSub>
      </m:oMath>
      <w:r>
        <w:t xml:space="preserve">’s elasticity to cohort two fecundity were the highest in S2 (1.82 x</w:t>
      </w:r>
      <w:r>
        <w:t xml:space="preserve"> </w:t>
      </w:r>
      <m:oMath>
        <m:sSup>
          <m:e>
            <m:r>
              <m:t>10</m:t>
            </m:r>
          </m:e>
          <m:sup>
            <m:r>
              <m:t>7</m:t>
            </m:r>
          </m:sup>
        </m:sSup>
      </m:oMath>
      <w:r>
        <w:t xml:space="preserve"> </w:t>
      </w:r>
      <w:r>
        <w:t xml:space="preserve">and 1.39 x</w:t>
      </w:r>
      <w:r>
        <w:t xml:space="preserve"> </w:t>
      </w:r>
      <m:oMath>
        <m:sSup>
          <m:e>
            <m:r>
              <m:t>10</m:t>
            </m:r>
          </m:e>
          <m:sup>
            <m:r>
              <m:t>7</m:t>
            </m:r>
          </m:sup>
        </m:sSup>
      </m:oMath>
      <w:r>
        <w:t xml:space="preserve">), C3 (2.22 x</w:t>
      </w:r>
      <w:r>
        <w:t xml:space="preserve"> </w:t>
      </w:r>
      <m:oMath>
        <m:sSup>
          <m:e>
            <m:r>
              <m:t>10</m:t>
            </m:r>
          </m:e>
          <m:sup>
            <m:r>
              <m:t>6</m:t>
            </m:r>
          </m:sup>
        </m:sSup>
      </m:oMath>
      <w:r>
        <w:t xml:space="preserve"> </w:t>
      </w:r>
      <w:r>
        <w:t xml:space="preserve">and 5.69 x</w:t>
      </w:r>
      <w:r>
        <w:t xml:space="preserve"> </w:t>
      </w:r>
      <m:oMath>
        <m:sSup>
          <m:e>
            <m:r>
              <m:t>10</m:t>
            </m:r>
          </m:e>
          <m:sup>
            <m:r>
              <m:t>5</m:t>
            </m:r>
          </m:sup>
        </m:sSup>
      </m:oMath>
      <w:r>
        <w:t xml:space="preserve">), O3 (76673.94 and</w:t>
      </w:r>
      <w:r>
        <w:br/>
      </w:r>
      <w:r>
        <w:t xml:space="preserve">62845.84), C4 (5.84 x</w:t>
      </w:r>
      <w:r>
        <w:t xml:space="preserve"> </w:t>
      </w:r>
      <m:oMath>
        <m:sSup>
          <m:e>
            <m:r>
              <m:t>10</m:t>
            </m:r>
          </m:e>
          <m:sup>
            <m:r>
              <m:t>7</m:t>
            </m:r>
          </m:sup>
        </m:sSup>
      </m:oMath>
      <w:r>
        <w:t xml:space="preserve"> </w:t>
      </w:r>
      <w:r>
        <w:t xml:space="preserve">and 1.01 x</w:t>
      </w:r>
      <w:r>
        <w:t xml:space="preserve"> </w:t>
      </w:r>
      <m:oMath>
        <m:sSup>
          <m:e>
            <m:r>
              <m:t>10</m:t>
            </m:r>
          </m:e>
          <m:sup>
            <m:r>
              <m:t>6</m:t>
            </m:r>
          </m:sup>
        </m:sSup>
      </m:oMath>
      <w:r>
        <w:t xml:space="preserve">), S4 (5.74 x</w:t>
      </w:r>
      <w:r>
        <w:t xml:space="preserve"> </w:t>
      </w:r>
      <m:oMath>
        <m:sSup>
          <m:e>
            <m:r>
              <m:t>10</m:t>
            </m:r>
          </m:e>
          <m:sup>
            <m:r>
              <m:t>6</m:t>
            </m:r>
          </m:sup>
        </m:sSup>
      </m:oMath>
      <w:r>
        <w:t xml:space="preserve"> </w:t>
      </w:r>
      <w:r>
        <w:t xml:space="preserve">and 2.17 x</w:t>
      </w:r>
      <w:r>
        <w:t xml:space="preserve"> </w:t>
      </w:r>
      <m:oMath>
        <m:sSup>
          <m:e>
            <m:r>
              <m:t>10</m:t>
            </m:r>
          </m:e>
          <m:sup>
            <m:r>
              <m:t>6</m:t>
            </m:r>
          </m:sup>
        </m:sSup>
      </m:oMath>
      <w:r>
        <w:t xml:space="preserve">), and A4 (1850.3 and 156.54)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no clear pattern of the second-ranked group of parameters in contribution to elasticity of</w:t>
      </w:r>
      <w:r>
        <w:t xml:space="preserve"> </w:t>
      </w:r>
      <m:oMath>
        <m:r>
          <m:t>λ</m:t>
        </m:r>
        <m:d>
          <m:dPr>
            <m:begChr m:val="("/>
            <m:endChr m:val=")"/>
            <m:sepChr m:val=""/>
            <m:grow/>
          </m:dPr>
          <m:e>
            <m:r>
              <m:t>3</m:t>
            </m:r>
          </m:e>
        </m:d>
      </m:oMath>
      <w:r>
        <w:t xml:space="preserve"> </w:t>
      </w:r>
      <w:r>
        <w:t xml:space="preserve">was observed: overwinter survival rate of the top stratum seeds in C3, non-germinating seeds in the top stratum in S3, and overwinter survival rate of the bottom stratum seeds in O3.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warm-season crop phase and non-germinating seeds in the top stratum in the cool-season crop phases.</w:t>
      </w:r>
    </w:p>
    <w:p>
      <w:pPr>
        <w:pStyle w:val="CaptionedFigure"/>
      </w:pPr>
      <w:r>
        <w:drawing>
          <wp:inline>
            <wp:extent cx="5334000" cy="5334000"/>
            <wp:effectExtent b="0" l="0" r="0" t="0"/>
            <wp:docPr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title="" id="47" name="Picture"/>
            <a:graphic>
              <a:graphicData uri="http://schemas.openxmlformats.org/drawingml/2006/picture">
                <pic:pic>
                  <pic:nvPicPr>
                    <pic:cNvPr descr="results_files/figure-docx/scenario1-phase-wise-lambda-plot-1.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0" name="Picture"/>
            <a:graphic>
              <a:graphicData uri="http://schemas.openxmlformats.org/drawingml/2006/picture">
                <pic:pic>
                  <pic:nvPicPr>
                    <pic:cNvPr descr="results_files/figure-docx/scenario1-E-B-by-rot-rank-1.png" id="51" name="Picture"/>
                    <pic:cNvPicPr>
                      <a:picLocks noChangeArrowheads="1" noChangeAspect="1"/>
                    </pic:cNvPicPr>
                  </pic:nvPicPr>
                  <pic:blipFill>
                    <a:blip r:embed="rId4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pPr>
        <w:pStyle w:val="CaptionedFigure"/>
      </w:pPr>
      <w:r>
        <w:drawing>
          <wp:inline>
            <wp:extent cx="5334000" cy="5334000"/>
            <wp:effectExtent b="0" l="0" r="0" t="0"/>
            <wp:docPr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title="" id="53" name="Picture"/>
            <a:graphic>
              <a:graphicData uri="http://schemas.openxmlformats.org/drawingml/2006/picture">
                <pic:pic>
                  <pic:nvPicPr>
                    <pic:cNvPr descr="results_files/figure-docx/scenario2-phase-wise-lambda-plot-1.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6" name="Picture"/>
            <a:graphic>
              <a:graphicData uri="http://schemas.openxmlformats.org/drawingml/2006/picture">
                <pic:pic>
                  <pic:nvPicPr>
                    <pic:cNvPr descr="results_files/figure-docx/scenario2-E-B-by-rot-rank-1.png" id="57" name="Picture"/>
                    <pic:cNvPicPr>
                      <a:picLocks noChangeArrowheads="1" noChangeAspect="1"/>
                    </pic:cNvPicPr>
                  </pic:nvPicPr>
                  <pic:blipFill>
                    <a:blip r:embed="rId5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bookmarkEnd w:id="58"/>
    <w:bookmarkEnd w:id="59"/>
    <w:bookmarkStart w:id="66" w:name="simulation"/>
    <w:p>
      <w:pPr>
        <w:pStyle w:val="Heading2"/>
      </w:pPr>
      <w:r>
        <w:t xml:space="preserve">Simulation</w:t>
      </w:r>
    </w:p>
    <w:p>
      <w:pPr>
        <w:pStyle w:val="FirstParagraph"/>
      </w:pPr>
      <w:r>
        <w:t xml:space="preserve">The more diverse rotations (3-year and 4-year) can tolerate higher seed production than the 2-year rotation can (Figure</w:t>
      </w:r>
      <w:r>
        <w:t xml:space="preserve"> </w:t>
      </w:r>
      <w:r>
        <w:t xml:space="preserve">??</w:t>
      </w:r>
      <w:r>
        <w:t xml:space="preserve">). This pattern is consistent with the population projection presented previously.</w:t>
      </w:r>
    </w:p>
    <w:p>
      <w:pPr>
        <w:pStyle w:val="BodyText"/>
      </w:pPr>
      <w:r>
        <w:t xml:space="preserve">Using the population dynamics demonstrated in Scenario 1, an initial population density of 10000 seeds/m</w:t>
      </w:r>
      <m:oMath>
        <m:sSup>
          <m:e>
            <m:r>
              <m:t>​</m:t>
            </m:r>
          </m:e>
          <m:sup>
            <m:r>
              <m:t>2</m:t>
            </m:r>
          </m:sup>
        </m:sSup>
      </m:oMath>
      <w:r>
        <w:t xml:space="preserve"> </w:t>
      </w:r>
      <w:r>
        <w:t xml:space="preserve">would remain stable if the first three cohorts in C2 and S2 produced 42 seeds/m</w:t>
      </w:r>
      <m:oMath>
        <m:sSup>
          <m:e>
            <m:r>
              <m:t>​</m:t>
            </m:r>
          </m:e>
          <m:sup>
            <m:r>
              <m:t>2</m:t>
            </m:r>
          </m:sup>
        </m:sSup>
      </m:oMath>
      <w:r>
        <w:t xml:space="preserve"> </w:t>
      </w:r>
      <w:r>
        <w:t xml:space="preserve">in total (or 0.04 gram/</w:t>
      </w:r>
      <m:oMath>
        <m:sSup>
          <m:e>
            <m:r>
              <m:t>​</m:t>
            </m:r>
          </m:e>
          <m:sup>
            <m:r>
              <m:t>2</m:t>
            </m:r>
          </m:sup>
        </m:sSup>
      </m:oMath>
      <w:r>
        <w:t xml:space="preserve"> </w:t>
      </w:r>
      <w:r>
        <w:t xml:space="preserve">of dried aboveground mass), which would be equivalent to almost total control.</w:t>
      </w:r>
    </w:p>
    <w:p>
      <w:pPr>
        <w:pStyle w:val="BodyText"/>
      </w:pPr>
      <w:r>
        <w:t xml:space="preserve">The 4-year rotation can tolerate bigger plants in the corn and soybean phases than the 3-year rotation, but the different was more substantial under low herbicide corn weed management. When corn was managed with conventional herbicide, 4821 seeds/m</w:t>
      </w:r>
      <m:oMath>
        <m:sSup>
          <m:e>
            <m:r>
              <m:t>​</m:t>
            </m:r>
          </m:e>
          <m:sup>
            <m:r>
              <m:t>2</m:t>
            </m:r>
          </m:sup>
        </m:sSup>
      </m:oMath>
      <w:r>
        <w:t xml:space="preserve"> </w:t>
      </w:r>
      <w:r>
        <w:t xml:space="preserve">in C4 versus 1101 seeds/m</w:t>
      </w:r>
      <m:oMath>
        <m:sSup>
          <m:e>
            <m:r>
              <m:t>​</m:t>
            </m:r>
          </m:e>
          <m:sup>
            <m:r>
              <m:t>2</m:t>
            </m:r>
          </m:sup>
        </m:sSup>
      </m:oMath>
      <w:r>
        <w:t xml:space="preserve"> </w:t>
      </w:r>
      <w:r>
        <w:t xml:space="preserve">in C3 and 3017 seeds/m</w:t>
      </w:r>
      <m:oMath>
        <m:sSup>
          <m:e>
            <m:r>
              <m:t>​</m:t>
            </m:r>
          </m:e>
          <m:sup>
            <m:r>
              <m:t>2</m:t>
            </m:r>
          </m:sup>
        </m:sSup>
      </m:oMath>
      <w:r>
        <w:t xml:space="preserve"> </w:t>
      </w:r>
      <w:r>
        <w:t xml:space="preserve">in S4 versus 2531 seeds/m</w:t>
      </w:r>
      <m:oMath>
        <m:sSup>
          <m:e>
            <m:r>
              <m:t>​</m:t>
            </m:r>
          </m:e>
          <m:sup>
            <m:r>
              <m:t>2</m:t>
            </m:r>
          </m:sup>
        </m:sSup>
      </m:oMath>
      <w:r>
        <w:t xml:space="preserve"> </w:t>
      </w:r>
      <w:r>
        <w:t xml:space="preserve">in S3 was tolerated. Within the seed production allowance under conventional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 However, when low herbicide regime was used for corn weed management, 2394 seeds/m</w:t>
      </w:r>
      <m:oMath>
        <m:sSup>
          <m:e>
            <m:r>
              <m:t>​</m:t>
            </m:r>
          </m:e>
          <m:sup>
            <m:r>
              <m:t>2</m:t>
            </m:r>
          </m:sup>
        </m:sSup>
      </m:oMath>
      <w:r>
        <w:t xml:space="preserve"> </w:t>
      </w:r>
      <w:r>
        <w:t xml:space="preserve">in C4 versus 889 seeds/m</w:t>
      </w:r>
      <m:oMath>
        <m:sSup>
          <m:e>
            <m:r>
              <m:t>​</m:t>
            </m:r>
          </m:e>
          <m:sup>
            <m:r>
              <m:t>2</m:t>
            </m:r>
          </m:sup>
        </m:sSup>
      </m:oMath>
      <w:r>
        <w:t xml:space="preserve"> </w:t>
      </w:r>
      <w:r>
        <w:t xml:space="preserve">in C3 and 2672 seeds/m</w:t>
      </w:r>
      <m:oMath>
        <m:sSup>
          <m:e>
            <m:r>
              <m:t>​</m:t>
            </m:r>
          </m:e>
          <m:sup>
            <m:r>
              <m:t>2</m:t>
            </m:r>
          </m:sup>
        </m:sSup>
      </m:oMath>
      <w:r>
        <w:t xml:space="preserve"> </w:t>
      </w:r>
      <w:r>
        <w:t xml:space="preserve">in S4 versus 785 seeds/m</w:t>
      </w:r>
      <m:oMath>
        <m:sSup>
          <m:e>
            <m:r>
              <m:t>​</m:t>
            </m:r>
          </m:e>
          <m:sup>
            <m:r>
              <m:t>2</m:t>
            </m:r>
          </m:sup>
        </m:sSup>
      </m:oMath>
      <w:r>
        <w:t xml:space="preserve"> </w:t>
      </w:r>
      <w:r>
        <w:t xml:space="preserve">in S3 was tolerated. Within the seed production allowance under low herbicide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w:t>
      </w:r>
    </w:p>
    <w:p>
      <w:pPr>
        <w:pStyle w:val="BodyText"/>
      </w:pPr>
      <w:r>
        <w:t xml:space="preserve">The data in the model projection was used in this simulation. 100 iterations of simulation were run per each rotation crossed with corn weed management regime.</w:t>
      </w:r>
    </w:p>
    <w:p>
      <w:pPr>
        <w:pStyle w:val="SourceCode"/>
      </w:pPr>
      <w:r>
        <w:rPr>
          <w:rStyle w:val="CommentTok"/>
        </w:rPr>
        <w:t xml:space="preserve"># event sequence: seed dropped - field cultivator - emerge - survive - new seed - chisel - overwinter </w:t>
      </w:r>
      <w:r>
        <w:br/>
      </w:r>
      <w:r>
        <w:br/>
      </w:r>
      <w:r>
        <w:rPr>
          <w:rStyle w:val="CommentTok"/>
        </w:rPr>
        <w:t xml:space="preserve"># create a function </w:t>
      </w:r>
      <w:r>
        <w:br/>
      </w:r>
      <w:r>
        <w:rPr>
          <w:rStyle w:val="CommentTok"/>
        </w:rPr>
        <w:t xml:space="preserve"># vec: starting seed column</w:t>
      </w:r>
      <w:r>
        <w:br/>
      </w:r>
      <w:r>
        <w:rPr>
          <w:rStyle w:val="CommentTok"/>
        </w:rPr>
        <w:t xml:space="preserve"># poh: post-harvest tillage</w:t>
      </w:r>
      <w:r>
        <w:br/>
      </w:r>
      <w:r>
        <w:rPr>
          <w:rStyle w:val="CommentTok"/>
        </w:rPr>
        <w:t xml:space="preserve"># ow: over winter seed survival</w:t>
      </w:r>
      <w:r>
        <w:br/>
      </w:r>
      <w:r>
        <w:rPr>
          <w:rStyle w:val="CommentTok"/>
        </w:rPr>
        <w:t xml:space="preserve"># prt: pre-planting-tillage</w:t>
      </w:r>
      <w:r>
        <w:br/>
      </w:r>
      <w:r>
        <w:rPr>
          <w:rStyle w:val="CommentTok"/>
        </w:rPr>
        <w:t xml:space="preserve"># em: emergence</w:t>
      </w:r>
      <w:r>
        <w:br/>
      </w:r>
      <w:r>
        <w:rPr>
          <w:rStyle w:val="CommentTok"/>
        </w:rPr>
        <w:t xml:space="preserve"># sv: seed survival rate and seedling to maturity success rate</w:t>
      </w:r>
      <w:r>
        <w:br/>
      </w:r>
      <w:r>
        <w:rPr>
          <w:rStyle w:val="CommentTok"/>
        </w:rPr>
        <w:t xml:space="preserve"># seed: fecundity</w:t>
      </w:r>
      <w:r>
        <w:br/>
      </w:r>
      <w:r>
        <w:br/>
      </w:r>
      <w:r>
        <w:rPr>
          <w:rStyle w:val="NormalTok"/>
        </w:rPr>
        <w:t xml:space="preserve">rot_2year_conv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rPr>
          <w:rStyle w:val="CommentTok"/>
        </w:rPr>
        <w:t xml:space="preserve">#257.03 seeds/plant</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 </w:t>
      </w:r>
      <w:r>
        <w:rPr>
          <w:rStyle w:val="CommentTok"/>
        </w:rPr>
        <w:t xml:space="preserve"># 208.18 seeds/plant</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 </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 </w:t>
      </w:r>
      <w:r>
        <w:rPr>
          <w:rStyle w:val="CommentTok"/>
        </w:rPr>
        <w:t xml:space="preserve">#316.83</w:t>
      </w:r>
      <w:r>
        <w:br/>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br/>
      </w:r>
      <w:r>
        <w:rPr>
          <w:rStyle w:val="NormalTok"/>
        </w:rPr>
        <w:t xml:space="preserve">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r>
        <w:br/>
      </w:r>
      <w:r>
        <w:br/>
      </w:r>
      <w:r>
        <w:rPr>
          <w:rStyle w:val="NormalTok"/>
        </w:rPr>
        <w:t xml:space="preserve">rot_2year_low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 </w:t>
      </w:r>
      <w:r>
        <w:rPr>
          <w:rStyle w:val="CommentTok"/>
        </w:rPr>
        <w:t xml:space="preserve"># 46.55 seeds/plant</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3.44</w:t>
      </w:r>
      <w:r>
        <w:rPr>
          <w:rStyle w:val="NormalTok"/>
        </w:rPr>
        <w:t xml:space="preserve">, </w:t>
      </w:r>
      <w:r>
        <w:rPr>
          <w:rStyle w:val="FloatTok"/>
        </w:rPr>
        <w:t xml:space="preserve">0.76</w:t>
      </w:r>
      <w:r>
        <w:rPr>
          <w:rStyle w:val="NormalTok"/>
        </w:rPr>
        <w:t xml:space="preserve">) </w:t>
      </w:r>
      <w:r>
        <w:rPr>
          <w:rStyle w:val="CommentTok"/>
        </w:rPr>
        <w:t xml:space="preserve"># 30.84 seeds/plant</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4.22</w:t>
      </w:r>
      <w:r>
        <w:rPr>
          <w:rStyle w:val="NormalTok"/>
        </w:rPr>
        <w:t xml:space="preserve">, </w:t>
      </w:r>
      <w:r>
        <w:rPr>
          <w:rStyle w:val="FloatTok"/>
        </w:rPr>
        <w:t xml:space="preserve">0.65</w:t>
      </w:r>
      <w:r>
        <w:rPr>
          <w:rStyle w:val="NormalTok"/>
        </w:rPr>
        <w:t xml:space="preserve">) </w:t>
      </w:r>
      <w:r>
        <w:rPr>
          <w:rStyle w:val="CommentTok"/>
        </w:rPr>
        <w:t xml:space="preserve">#67.56 seeds/plant</w:t>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t </w:t>
      </w:r>
      <w:r>
        <w:rPr>
          <w:rStyle w:val="OtherTok"/>
        </w:rPr>
        <w:t xml:space="preserve">&lt;-</w:t>
      </w:r>
      <w:r>
        <w:rPr>
          <w:rStyle w:val="NormalTok"/>
        </w:rPr>
        <w:t xml:space="preserve"> </w:t>
      </w:r>
      <w:r>
        <w:rPr>
          <w:rStyle w:val="DecValTok"/>
        </w:rPr>
        <w:t xml:space="preserve">100</w:t>
      </w:r>
      <w:r>
        <w:br/>
      </w:r>
      <w:r>
        <w:rPr>
          <w:rStyle w:val="NormalTok"/>
        </w:rPr>
        <w:t xml:space="preserve">N_2yr_conv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 frame to save loop output </w:t>
      </w:r>
      <w:r>
        <w:br/>
      </w:r>
      <w:r>
        <w:rPr>
          <w:rStyle w:val="NormalTok"/>
        </w:rPr>
        <w:t xml:space="preserve">N_2yr_conv[[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N_2yr_conv[[i]] </w:t>
      </w:r>
      <w:r>
        <w:rPr>
          <w:rStyle w:val="OtherTok"/>
        </w:rPr>
        <w:t xml:space="preserve">=</w:t>
      </w:r>
      <w:r>
        <w:rPr>
          <w:rStyle w:val="NormalTok"/>
        </w:rPr>
        <w:t xml:space="preserve"> </w:t>
      </w:r>
      <w:r>
        <w:rPr>
          <w:rStyle w:val="FunctionTok"/>
        </w:rPr>
        <w:t xml:space="preserve">rot_2year_conv</w:t>
      </w:r>
      <w:r>
        <w:rPr>
          <w:rStyle w:val="NormalTok"/>
        </w:rPr>
        <w:t xml:space="preserve">(</w:t>
      </w:r>
      <w:r>
        <w:rPr>
          <w:rStyle w:val="AttributeTok"/>
        </w:rPr>
        <w:t xml:space="preserve">vec =</w:t>
      </w:r>
      <w:r>
        <w:rPr>
          <w:rStyle w:val="NormalTok"/>
        </w:rPr>
        <w:t xml:space="preserve"> N_2yr_conv[[i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S2_conv)</w:t>
      </w:r>
      <w:r>
        <w:br/>
      </w:r>
      <w:r>
        <w:rPr>
          <w:rStyle w:val="NormalTok"/>
        </w:rPr>
        <w:t xml:space="preserve">}</w:t>
      </w:r>
      <w:r>
        <w:br/>
      </w:r>
      <w:r>
        <w:br/>
      </w:r>
      <w:r>
        <w:rPr>
          <w:rStyle w:val="NormalTok"/>
        </w:rPr>
        <w:t xml:space="preserve">N_2yr_conv_df </w:t>
      </w:r>
      <w:r>
        <w:rPr>
          <w:rStyle w:val="OtherTok"/>
        </w:rPr>
        <w:t xml:space="preserve">&lt;-</w:t>
      </w:r>
      <w:r>
        <w:rPr>
          <w:rStyle w:val="NormalTok"/>
        </w:rPr>
        <w:t xml:space="preserve">  N_2yr_conv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w:t>
      </w:r>
      <w:r>
        <w:br/>
      </w:r>
      <w:r>
        <w:rPr>
          <w:rStyle w:val="NormalTok"/>
        </w:rPr>
        <w:t xml:space="preserve">N_2yr_low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N_2yr_low[[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N_2yr_low[[i]] </w:t>
      </w:r>
      <w:r>
        <w:rPr>
          <w:rStyle w:val="OtherTok"/>
        </w:rPr>
        <w:t xml:space="preserve">=</w:t>
      </w:r>
      <w:r>
        <w:rPr>
          <w:rStyle w:val="NormalTok"/>
        </w:rPr>
        <w:t xml:space="preserve"> </w:t>
      </w:r>
      <w:r>
        <w:rPr>
          <w:rStyle w:val="FunctionTok"/>
        </w:rPr>
        <w:t xml:space="preserve">rot_2year_low</w:t>
      </w:r>
      <w:r>
        <w:rPr>
          <w:rStyle w:val="NormalTok"/>
        </w:rPr>
        <w:t xml:space="preserve">(</w:t>
      </w:r>
      <w:r>
        <w:rPr>
          <w:rStyle w:val="AttributeTok"/>
        </w:rPr>
        <w:t xml:space="preserve">vec =</w:t>
      </w:r>
      <w:r>
        <w:rPr>
          <w:rStyle w:val="NormalTok"/>
        </w:rPr>
        <w:t xml:space="preserve"> N_2yr_low[[i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S2_low)</w:t>
      </w:r>
      <w:r>
        <w:br/>
      </w:r>
      <w:r>
        <w:rPr>
          <w:rStyle w:val="NormalTok"/>
        </w:rPr>
        <w:t xml:space="preserve">}</w:t>
      </w:r>
      <w:r>
        <w:br/>
      </w:r>
      <w:r>
        <w:br/>
      </w:r>
      <w:r>
        <w:rPr>
          <w:rStyle w:val="NormalTok"/>
        </w:rPr>
        <w:t xml:space="preserve">N_2yr_low_df </w:t>
      </w:r>
      <w:r>
        <w:rPr>
          <w:rStyle w:val="OtherTok"/>
        </w:rPr>
        <w:t xml:space="preserve">&lt;-</w:t>
      </w:r>
      <w:r>
        <w:rPr>
          <w:rStyle w:val="NormalTok"/>
        </w:rPr>
        <w:t xml:space="preserve">  N_2yr_low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NormalTok"/>
        </w:rPr>
        <w:t xml:space="preserve">rot_3year_conv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seed_C[1,8] &lt;- rlnorm(1, 2.66, 0.89)</w:t>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seed_S[1,8] &lt;- rlnorm(1, 2.66, 0.89)</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r>
        <w:br/>
      </w:r>
      <w:r>
        <w:br/>
      </w:r>
      <w:r>
        <w:rPr>
          <w:rStyle w:val="DocumentationTok"/>
        </w:rPr>
        <w:t xml:space="preserve">### low herbicide weed management</w:t>
      </w:r>
      <w:r>
        <w:br/>
      </w:r>
      <w:r>
        <w:rPr>
          <w:rStyle w:val="DocumentationTok"/>
        </w:rPr>
        <w:t xml:space="preserve">## Manipulation note: if cohorts 1 through 3 were reduced to rlnorm(1, 2.65, 0.89), alphas are around 0.5 --&gt; super "safe", but hard</w:t>
      </w:r>
      <w:r>
        <w:br/>
      </w:r>
      <w:r>
        <w:rPr>
          <w:rStyle w:val="DocumentationTok"/>
        </w:rPr>
        <w:t xml:space="preserve">## cohorts 1 through 3 at rlnorm(1, 5.2, 0.51): more realistic</w:t>
      </w:r>
      <w:r>
        <w:br/>
      </w:r>
      <w:r>
        <w:rPr>
          <w:rStyle w:val="NormalTok"/>
        </w:rPr>
        <w:t xml:space="preserve">rot_3year_low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5.05</w:t>
      </w:r>
      <w:r>
        <w:rPr>
          <w:rStyle w:val="NormalTok"/>
        </w:rPr>
        <w:t xml:space="preserve">, </w:t>
      </w:r>
      <w:r>
        <w:rPr>
          <w:rStyle w:val="FloatTok"/>
        </w:rPr>
        <w:t xml:space="preserve">0.53</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6.94</w:t>
      </w:r>
      <w:r>
        <w:rPr>
          <w:rStyle w:val="NormalTok"/>
        </w:rPr>
        <w:t xml:space="preserve">, </w:t>
      </w:r>
      <w:r>
        <w:rPr>
          <w:rStyle w:val="FloatTok"/>
        </w:rPr>
        <w:t xml:space="preserve">0.43</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N_3yr_conv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N_3yr_conv[[i]] </w:t>
      </w:r>
      <w:r>
        <w:rPr>
          <w:rStyle w:val="OtherTok"/>
        </w:rPr>
        <w:t xml:space="preserve">=</w:t>
      </w:r>
      <w:r>
        <w:rPr>
          <w:rStyle w:val="NormalTok"/>
        </w:rPr>
        <w:t xml:space="preserve"> </w:t>
      </w:r>
      <w:r>
        <w:rPr>
          <w:rStyle w:val="FunctionTok"/>
        </w:rPr>
        <w:t xml:space="preserve">rot_3year_conv</w:t>
      </w:r>
      <w:r>
        <w:rPr>
          <w:rStyle w:val="NormalTok"/>
        </w:rPr>
        <w:t xml:space="preserve">(</w:t>
      </w:r>
      <w:r>
        <w:rPr>
          <w:rStyle w:val="AttributeTok"/>
        </w:rPr>
        <w:t xml:space="preserve">vec =</w:t>
      </w:r>
      <w:r>
        <w:rPr>
          <w:rStyle w:val="NormalTok"/>
        </w:rPr>
        <w:t xml:space="preserve"> N_3yr_conv[[i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O3_conv)</w:t>
      </w:r>
      <w:r>
        <w:br/>
      </w:r>
      <w:r>
        <w:rPr>
          <w:rStyle w:val="NormalTok"/>
        </w:rPr>
        <w:t xml:space="preserve">}</w:t>
      </w:r>
      <w:r>
        <w:br/>
      </w:r>
      <w:r>
        <w:br/>
      </w:r>
      <w:r>
        <w:rPr>
          <w:rStyle w:val="NormalTok"/>
        </w:rPr>
        <w:t xml:space="preserve">N_3yr_conv_df </w:t>
      </w:r>
      <w:r>
        <w:rPr>
          <w:rStyle w:val="OtherTok"/>
        </w:rPr>
        <w:t xml:space="preserve">&lt;-</w:t>
      </w:r>
      <w:r>
        <w:rPr>
          <w:rStyle w:val="NormalTok"/>
        </w:rPr>
        <w:t xml:space="preserve">  N_3yr_conv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N_3yr_low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N_3yr_low[[i]] </w:t>
      </w:r>
      <w:r>
        <w:rPr>
          <w:rStyle w:val="OtherTok"/>
        </w:rPr>
        <w:t xml:space="preserve">=</w:t>
      </w:r>
      <w:r>
        <w:rPr>
          <w:rStyle w:val="NormalTok"/>
        </w:rPr>
        <w:t xml:space="preserve"> </w:t>
      </w:r>
      <w:r>
        <w:rPr>
          <w:rStyle w:val="FunctionTok"/>
        </w:rPr>
        <w:t xml:space="preserve">rot_3year_low</w:t>
      </w:r>
      <w:r>
        <w:rPr>
          <w:rStyle w:val="NormalTok"/>
        </w:rPr>
        <w:t xml:space="preserve">(</w:t>
      </w:r>
      <w:r>
        <w:rPr>
          <w:rStyle w:val="AttributeTok"/>
        </w:rPr>
        <w:t xml:space="preserve">vec =</w:t>
      </w:r>
      <w:r>
        <w:rPr>
          <w:rStyle w:val="NormalTok"/>
        </w:rPr>
        <w:t xml:space="preserve"> N_3yr_low[[i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O3_low)</w:t>
      </w:r>
      <w:r>
        <w:br/>
      </w:r>
      <w:r>
        <w:rPr>
          <w:rStyle w:val="NormalTok"/>
        </w:rPr>
        <w:t xml:space="preserve">}</w:t>
      </w:r>
      <w:r>
        <w:br/>
      </w:r>
      <w:r>
        <w:br/>
      </w:r>
      <w:r>
        <w:rPr>
          <w:rStyle w:val="NormalTok"/>
        </w:rPr>
        <w:t xml:space="preserve">N_3yr_low_df </w:t>
      </w:r>
      <w:r>
        <w:rPr>
          <w:rStyle w:val="OtherTok"/>
        </w:rPr>
        <w:t xml:space="preserve">&lt;-</w:t>
      </w:r>
      <w:r>
        <w:rPr>
          <w:rStyle w:val="NormalTok"/>
        </w:rPr>
        <w:t xml:space="preserve">  N_3yr_low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SourceCode"/>
      </w:pPr>
      <w:r>
        <w:rPr>
          <w:rStyle w:val="DocumentationTok"/>
        </w:rPr>
        <w:t xml:space="preserve">### conventional weed management</w:t>
      </w:r>
      <w:r>
        <w:br/>
      </w:r>
      <w:r>
        <w:rPr>
          <w:rStyle w:val="NormalTok"/>
        </w:rPr>
        <w:t xml:space="preserve">rot_4year_conv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#fecundity was much lower after cohort 3, so focus on supressing plant size in soybean</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7.34</w:t>
      </w:r>
      <w:r>
        <w:rPr>
          <w:rStyle w:val="NormalTok"/>
        </w:rPr>
        <w:t xml:space="preserve">, </w:t>
      </w:r>
      <w:r>
        <w:rPr>
          <w:rStyle w:val="FloatTok"/>
        </w:rPr>
        <w:t xml:space="preserve">0.44</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after_oat </w:t>
      </w:r>
      <w:r>
        <w:br/>
      </w:r>
      <w:r>
        <w:rPr>
          <w:rStyle w:val="NormalTok"/>
        </w:rPr>
        <w:t xml:space="preserve">  after_alfalfa</w:t>
      </w:r>
      <w:r>
        <w:br/>
      </w:r>
      <w:r>
        <w:rPr>
          <w:rStyle w:val="NormalTok"/>
        </w:rPr>
        <w:t xml:space="preserve">}</w:t>
      </w:r>
      <w:r>
        <w:br/>
      </w:r>
      <w:r>
        <w:br/>
      </w:r>
      <w:r>
        <w:rPr>
          <w:rStyle w:val="DocumentationTok"/>
        </w:rPr>
        <w:t xml:space="preserve">### low herbicide weed management</w:t>
      </w:r>
      <w:r>
        <w:br/>
      </w:r>
      <w:r>
        <w:rPr>
          <w:rStyle w:val="NormalTok"/>
        </w:rPr>
        <w:t xml:space="preserve">rot_4year_low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seed_C[1,8] &lt;- rlnorm(1,  2.66, 0.89)</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seed_S[1,8] &lt;- rlnorm(1,  2.66, 0.89)</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after_oat </w:t>
      </w:r>
      <w:r>
        <w:br/>
      </w:r>
      <w:r>
        <w:rPr>
          <w:rStyle w:val="NormalTok"/>
        </w:rPr>
        <w:t xml:space="preserve">   </w:t>
      </w:r>
      <w:r>
        <w:br/>
      </w:r>
      <w:r>
        <w:rPr>
          <w:rStyle w:val="NormalTok"/>
        </w:rPr>
        <w:t xml:space="preserve">  after_alfalfa</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N_4yr_conv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N_4yr_conv[[i]] </w:t>
      </w:r>
      <w:r>
        <w:rPr>
          <w:rStyle w:val="OtherTok"/>
        </w:rPr>
        <w:t xml:space="preserve">=</w:t>
      </w:r>
      <w:r>
        <w:rPr>
          <w:rStyle w:val="NormalTok"/>
        </w:rPr>
        <w:t xml:space="preserve"> </w:t>
      </w:r>
      <w:r>
        <w:rPr>
          <w:rStyle w:val="FunctionTok"/>
        </w:rPr>
        <w:t xml:space="preserve">rot_4year_conv</w:t>
      </w:r>
      <w:r>
        <w:rPr>
          <w:rStyle w:val="NormalTok"/>
        </w:rPr>
        <w:t xml:space="preserve">(</w:t>
      </w:r>
      <w:r>
        <w:rPr>
          <w:rStyle w:val="AttributeTok"/>
        </w:rPr>
        <w:t xml:space="preserve">vec =</w:t>
      </w:r>
      <w:r>
        <w:rPr>
          <w:rStyle w:val="NormalTok"/>
        </w:rPr>
        <w:t xml:space="preserve"> N_4yr_conv[[i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A4_conv,</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A4_conv,</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A4_conv,</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A4_conv,</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A4_conv,</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A4_conv)</w:t>
      </w:r>
      <w:r>
        <w:br/>
      </w:r>
      <w:r>
        <w:rPr>
          <w:rStyle w:val="NormalTok"/>
        </w:rPr>
        <w:t xml:space="preserve">}</w:t>
      </w:r>
      <w:r>
        <w:br/>
      </w:r>
      <w:r>
        <w:br/>
      </w:r>
      <w:r>
        <w:rPr>
          <w:rStyle w:val="NormalTok"/>
        </w:rPr>
        <w:t xml:space="preserve">N_4yr_conv_df </w:t>
      </w:r>
      <w:r>
        <w:rPr>
          <w:rStyle w:val="OtherTok"/>
        </w:rPr>
        <w:t xml:space="preserve">&lt;-</w:t>
      </w:r>
      <w:r>
        <w:rPr>
          <w:rStyle w:val="NormalTok"/>
        </w:rPr>
        <w:t xml:space="preserve">  N_4yr_conv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"cohort_4"</w:t>
      </w:r>
      <w:r>
        <w:rPr>
          <w:rStyle w:val="NormalTok"/>
        </w:rPr>
        <w:t xml:space="preserve">, </w:t>
      </w:r>
      <w:r>
        <w:rPr>
          <w:rStyle w:val="StringTok"/>
        </w:rPr>
        <w:t xml:space="preserve">"cohort_3"</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N_4yr_low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N_4yr_low[[i]] </w:t>
      </w:r>
      <w:r>
        <w:rPr>
          <w:rStyle w:val="OtherTok"/>
        </w:rPr>
        <w:t xml:space="preserve">=</w:t>
      </w:r>
      <w:r>
        <w:rPr>
          <w:rStyle w:val="NormalTok"/>
        </w:rPr>
        <w:t xml:space="preserve"> </w:t>
      </w:r>
      <w:r>
        <w:rPr>
          <w:rStyle w:val="FunctionTok"/>
        </w:rPr>
        <w:t xml:space="preserve">rot_4year_low</w:t>
      </w:r>
      <w:r>
        <w:rPr>
          <w:rStyle w:val="NormalTok"/>
        </w:rPr>
        <w:t xml:space="preserve">(</w:t>
      </w:r>
      <w:r>
        <w:rPr>
          <w:rStyle w:val="AttributeTok"/>
        </w:rPr>
        <w:t xml:space="preserve">vec =</w:t>
      </w:r>
      <w:r>
        <w:rPr>
          <w:rStyle w:val="NormalTok"/>
        </w:rPr>
        <w:t xml:space="preserve"> N_4yr_low[[i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A4_low,</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A4_low,</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A4_low,</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A4_low,</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A4_low,</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A4_low)</w:t>
      </w:r>
      <w:r>
        <w:br/>
      </w:r>
      <w:r>
        <w:rPr>
          <w:rStyle w:val="NormalTok"/>
        </w:rPr>
        <w:t xml:space="preserve">}</w:t>
      </w:r>
      <w:r>
        <w:br/>
      </w:r>
      <w:r>
        <w:br/>
      </w:r>
      <w:r>
        <w:rPr>
          <w:rStyle w:val="NormalTok"/>
        </w:rPr>
        <w:t xml:space="preserve">N_4yr_low_df </w:t>
      </w:r>
      <w:r>
        <w:rPr>
          <w:rStyle w:val="OtherTok"/>
        </w:rPr>
        <w:t xml:space="preserve">&lt;-</w:t>
      </w:r>
      <w:r>
        <w:rPr>
          <w:rStyle w:val="NormalTok"/>
        </w:rPr>
        <w:t xml:space="preserve">  N_4yr_low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CaptionedFigure"/>
      </w:pPr>
      <w:r>
        <w:drawing>
          <wp:inline>
            <wp:extent cx="5334000" cy="5334000"/>
            <wp:effectExtent b="0" l="0" r="0" t="0"/>
            <wp:docPr descr="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thresholds in the corn and soybean environments, the fecundity of cohorts 4 and beyond were kept as they were measured from 2018. Each panel was annotated with the average fecundity threshold (seeds/m2) for the first three plant cohorts and the whole crop phase. The red horizontal line marks lambda = 1." title="" id="61" name="Picture"/>
            <a:graphic>
              <a:graphicData uri="http://schemas.openxmlformats.org/drawingml/2006/picture">
                <pic:pic>
                  <pic:nvPicPr>
                    <pic:cNvPr descr="results_files/figure-docx/seed-allowance-sim-lambda-plot-1.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thresholds in the corn and soybean environments, the fecundity of cohorts 4 and beyond were kept as they were measured from 2018. Each panel was annotated with the average fecundity threshold (seeds/m2) for the first three plant cohorts and the whole crop phase. The red horizontal line marks lambda = 1.</w:t>
      </w:r>
    </w:p>
    <w:p>
      <w:pPr>
        <w:pStyle w:val="CaptionedFigure"/>
      </w:pPr>
      <w:r>
        <w:drawing>
          <wp:inline>
            <wp:extent cx="5334000" cy="5334000"/>
            <wp:effectExtent b="0" l="0" r="0" t="0"/>
            <wp:docPr descr="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title="" id="64" name="Picture"/>
            <a:graphic>
              <a:graphicData uri="http://schemas.openxmlformats.org/drawingml/2006/picture">
                <pic:pic>
                  <pic:nvPicPr>
                    <pic:cNvPr descr="results_files/figure-docx/seed-allowance-sim-N-plot-1.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w:t>
      </w:r>
    </w:p>
    <w:bookmarkEnd w:id="66"/>
    <w:bookmarkStart w:id="67" w:name="conclusion"/>
    <w:p>
      <w:pPr>
        <w:pStyle w:val="Heading2"/>
      </w:pPr>
      <w:r>
        <w:t xml:space="preserve">Conclusion</w:t>
      </w:r>
    </w:p>
    <w:p>
      <w:pPr>
        <w:pStyle w:val="FirstParagraph"/>
      </w:pPr>
      <w:r>
        <w:t xml:space="preserve">Delayed but steady emergence (Tables</w:t>
      </w:r>
      <w:r>
        <w:t xml:space="preserve"> </w:t>
      </w:r>
      <w:r>
        <w:t xml:space="preserve">3</w:t>
      </w:r>
      <w:r>
        <w:t xml:space="preserve"> </w:t>
      </w:r>
      <w:r>
        <w:t xml:space="preserve">and</w:t>
      </w:r>
      <w:r>
        <w:t xml:space="preserve"> </w:t>
      </w:r>
      <w:r>
        <w:t xml:space="preserve">4</w:t>
      </w:r>
      <w:r>
        <w:t xml:space="preserve">), Figure</w:t>
      </w:r>
      <w:r>
        <w:t xml:space="preserve"> </w:t>
      </w:r>
      <w:r>
        <w:t xml:space="preserve">2</w:t>
      </w:r>
      <w:r>
        <w:t xml:space="preserve">) in the cool-season crop environments decreased population fecundity in the oat and alfalfa phases, and thus, accelerated seedbank size reduction in scenario 1 and slowed seedbank size increment in scenario 2.</w:t>
      </w:r>
    </w:p>
    <w:p>
      <w:pPr>
        <w:pStyle w:val="BodyText"/>
      </w:pPr>
      <w:r>
        <w:t xml:space="preserve">Opportunities to deplete and risks to replenish the soil seedbank are intertwined as illustrated in the population trajectories in Scenario 1’s 4-year rotation with corn managed with low herbicide and in Scenario 2’s all trajectories. The soil seedbank density’s response to the oat crop environment was unstable and dependent upon oat’s establishment performance. The oat in our experiment did not establish well and was hail-damaged soon before harvest in 2018 (Scenario 2’s input), but established well and was not damaged in 2019 (Scenario 1’s input) and this performance was reflected in the projected phase-wise</w:t>
      </w:r>
      <w:r>
        <w:t xml:space="preserve"> </w:t>
      </w:r>
      <m:oMath>
        <m:r>
          <m:t>λ</m:t>
        </m:r>
      </m:oMath>
      <w:r>
        <w:t xml:space="preserve"> </w:t>
      </w:r>
      <w:r>
        <w:t xml:space="preserve">(Figures</w:t>
      </w:r>
      <w:r>
        <w:t xml:space="preserve"> </w:t>
      </w:r>
      <w:r>
        <w:t xml:space="preserve">3</w:t>
      </w:r>
      <w:r>
        <w:t xml:space="preserve"> </w:t>
      </w:r>
      <w:r>
        <w:t xml:space="preserve">and</w:t>
      </w:r>
      <w:r>
        <w:t xml:space="preserve"> </w:t>
      </w:r>
      <w:r>
        <w:t xml:space="preserve">5</w:t>
      </w:r>
      <w:r>
        <w:t xml:space="preserve">). The seedbank’s more stable and predictable response to alfalfa crop environment effect could be attributed to alfalfa’s ability to form dense canopy.</w:t>
      </w:r>
    </w:p>
    <w:p>
      <w:pPr>
        <w:pStyle w:val="BodyText"/>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Unlike giant foxtail whose bottle neck point in the life cycle was overwinter seed survival rate</w:t>
      </w:r>
      <w:r>
        <w:t xml:space="preserve"> </w:t>
      </w:r>
      <w:r>
        <w:t xml:space="preserve">(Davis, 2002)</w:t>
      </w:r>
      <w:r>
        <w:t xml:space="preserve">, waterhemp’s bottle neck point in its life cycle was seedling emergence rate and seedling to maturity success rate. However, if the early emerged plants were unaffected by weed control programs, either through herbicide resistance or escape from cultivation, and successfully complete their life cycle, a small number of large,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w:t>
      </w:r>
      <w:r>
        <w:t xml:space="preserve"> </w:t>
      </w:r>
      <w:r>
        <w:t xml:space="preserve">(Nguyen and Liebman, 2022b, 2022a)</w:t>
      </w:r>
      <w:r>
        <w:t xml:space="preserve">.</w:t>
      </w:r>
    </w:p>
    <w:p>
      <w:pPr>
        <w:pStyle w:val="BodyText"/>
      </w:pPr>
      <w:r>
        <w:t xml:space="preserve">A reduction in the mass of applied herbicide active ingredients</w:t>
      </w:r>
      <w:r>
        <w:t xml:space="preserve"> </w:t>
      </w:r>
      <w:r>
        <w:t xml:space="preserve">(Nguyen and Liebman, 2022b)</w:t>
      </w:r>
      <w:r>
        <w:t xml:space="preserve"> </w:t>
      </w:r>
      <w:r>
        <w:t xml:space="preserve">was not coincident with population declining in the Scenario 1 (</w:t>
      </w:r>
      <m:oMath>
        <m:r>
          <m:t>λ</m:t>
        </m:r>
        <m:r>
          <m:rPr>
            <m:sty m:val="p"/>
          </m:rPr>
          <m:t>&lt;</m:t>
        </m:r>
        <m:r>
          <m:t>1</m:t>
        </m:r>
      </m:oMath>
      <w:r>
        <w:t xml:space="preserve">) but did coincide with population increases in scenario 2 (</w:t>
      </w:r>
      <m:oMath>
        <m:r>
          <m:t>λ</m:t>
        </m:r>
        <m:r>
          <m:rPr>
            <m:sty m:val="p"/>
          </m:rPr>
          <m:t>&gt;</m:t>
        </m:r>
        <m:r>
          <m:t>1</m:t>
        </m:r>
      </m:oMath>
      <w:r>
        <w:t xml:space="preserve">). In consideration of Scenario 2, population-increasing, it would be useful to examine how many years of continuous overwinter crops would be necessary and which cool-season crop species would be most efficient in decreasing waterhemp</w:t>
      </w:r>
      <w:r>
        <w:t xml:space="preserve"> </w:t>
      </w:r>
      <m:oMath>
        <m:r>
          <m:t>λ</m:t>
        </m:r>
      </m:oMath>
      <w:r>
        <w:t xml:space="preserve"> </w:t>
      </w:r>
      <w:r>
        <w:t xml:space="preserve">after steady seedbank replenishment. Such an investigation is needed because even if the increased abundance of waterhemp and other weed species has not been observed at the experiment site</w:t>
      </w:r>
      <w:r>
        <w:t xml:space="preserve"> </w:t>
      </w:r>
      <w:r>
        <w:t xml:space="preserve">(Nguyen and Liebman, 2022b)</w:t>
      </w:r>
      <w:r>
        <w:t xml:space="preserve">, an abundant seedbank of a highly competitive weed species harbors risks of weed outbreaks.</w:t>
      </w:r>
    </w:p>
    <w:p>
      <w:pPr>
        <w:pStyle w:val="BodyText"/>
      </w:pPr>
      <w:r>
        <w:t xml:space="preserve">The weed control pressure for the corn and soybean phases could be lessened with more extended rotations as bigger waterhemp plants in cohorts 1 through 3 can be tolerated in the 3-year and 4-year rotation than in the 2-year rotation. This higher tolerance can be attributed to the weed control effects provided by extending a cropping system of corn and soybean only with cool-season crops. As waterhemp fecundity was manipulated for cohorts 1 through 3 in corn and soybean environments only, it is implied that if effort was made to severely suppress waterhemp in corn and soybean phases, no additional weed management may be needed in the oat and alfalfa phases, so even the big waterhemp plants in oat and alfalfa phases would not need attention. Practitioners who chose the 4-year rotation for the economic and ecological benefits it offers</w:t>
      </w:r>
      <w:r>
        <w:t xml:space="preserve"> </w:t>
      </w:r>
      <w:r>
        <w:t xml:space="preserve">(</w:t>
      </w:r>
      <w:r>
        <w:rPr>
          <w:bCs/>
          <w:b/>
        </w:rPr>
        <w:t xml:space="preserve">davisIncreasingCroppingSystem2012?</w:t>
      </w:r>
      <w:r>
        <w:t xml:space="preserve">;</w:t>
      </w:r>
      <w:r>
        <w:t xml:space="preserve"> </w:t>
      </w:r>
      <w:r>
        <w:rPr>
          <w:bCs/>
          <w:b/>
        </w:rPr>
        <w:t xml:space="preserve">huntReducingFreshwaterToxicity2017?</w:t>
      </w:r>
      <w:r>
        <w:t xml:space="preserve">;</w:t>
      </w:r>
      <w:r>
        <w:t xml:space="preserve"> </w:t>
      </w:r>
      <w:r>
        <w:rPr>
          <w:bCs/>
          <w:b/>
        </w:rPr>
        <w:t xml:space="preserve">huntCroppingSystemDiversity2019?</w:t>
      </w:r>
      <w:r>
        <w:t xml:space="preserve">;</w:t>
      </w:r>
      <w:r>
        <w:t xml:space="preserve"> </w:t>
      </w:r>
      <w:r>
        <w:rPr>
          <w:bCs/>
          <w:b/>
        </w:rPr>
        <w:t xml:space="preserve">liebmanWeedSeedbankDiversity2021?</w:t>
      </w:r>
      <w:r>
        <w:t xml:space="preserve">)</w:t>
      </w:r>
      <w:r>
        <w:t xml:space="preserve"> </w:t>
      </w:r>
      <w:r>
        <w:t xml:space="preserve">might be less concerned with the risk of waterhemp seedbank size increment as compared to the 2-year rotation.</w:t>
      </w:r>
    </w:p>
    <w:p>
      <w:pPr>
        <w:pStyle w:val="BodyText"/>
      </w:pPr>
      <w:r>
        <w:t xml:space="preserve">The cohort-based female emergence rates at the experiment site were not realistically estimated due to small sample size of the soil seedbank and the plant community</w:t>
      </w:r>
      <w:r>
        <w:t xml:space="preserve"> </w:t>
      </w:r>
      <w:r>
        <w:t xml:space="preserve">(</w:t>
      </w:r>
      <w:r>
        <w:rPr>
          <w:bCs/>
          <w:b/>
        </w:rPr>
        <w:t xml:space="preserve">nguyenReducingHerbicideUse2016?</w:t>
      </w:r>
      <w:r>
        <w:t xml:space="preserve">)</w:t>
      </w:r>
      <w:r>
        <w:t xml:space="preserve">. Similarly, the cohort-based female survival rates at the experiment site were not realistically estimated due to small sample size in a high-efficacy weed management program (Table</w:t>
      </w:r>
      <w:r>
        <w:t xml:space="preserve"> </w:t>
      </w:r>
      <w:r>
        <w:t xml:space="preserve">6</w:t>
      </w:r>
      <w:r>
        <w:t xml:space="preserve">. Future experiments should focus on assessing cohort-based female vital rates, especially in cool-season crop environments.</w:t>
      </w:r>
    </w:p>
    <w:bookmarkEnd w:id="67"/>
    <w:bookmarkStart w:id="100" w:name="appendix"/>
    <w:p>
      <w:pPr>
        <w:pStyle w:val="Heading2"/>
      </w:pPr>
      <w:r>
        <w:t xml:space="preserve">Appendix</w:t>
      </w:r>
    </w:p>
    <w:bookmarkStart w:id="71"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9: Diagnosis plots for the effects of crop identity and crop weed managennt on the seedbank densities at the top (A) and bottom (B) soil strata" title="" id="69" name="Picture"/>
            <a:graphic>
              <a:graphicData uri="http://schemas.openxmlformats.org/drawingml/2006/picture">
                <pic:pic>
                  <pic:nvPicPr>
                    <pic:cNvPr descr="results_files/figure-docx/unnamed-chunk-12-1.png" id="70" name="Picture"/>
                    <pic:cNvPicPr>
                      <a:picLocks noChangeArrowheads="1" noChangeAspect="1"/>
                    </pic:cNvPicPr>
                  </pic:nvPicPr>
                  <pic:blipFill>
                    <a:blip r:embed="rId6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plots for the effects of crop identity and crop weed managennt on the seedbank densities at the top (A) and bottom (B) soil strata</w:t>
      </w:r>
    </w:p>
    <w:bookmarkEnd w:id="71"/>
    <w:bookmarkStart w:id="78" w:name="seedbank-density-from-2014-through-2019"/>
    <w:p>
      <w:pPr>
        <w:pStyle w:val="Heading3"/>
      </w:pPr>
      <w:r>
        <w:t xml:space="preserve">Seedbank density from 2014 through 2019</w:t>
      </w:r>
    </w:p>
    <w:p>
      <w:pPr>
        <w:pStyle w:val="CaptionedFigure"/>
      </w:pPr>
      <w:r>
        <w:drawing>
          <wp:inline>
            <wp:extent cx="5334000" cy="8534400"/>
            <wp:effectExtent b="0" l="0" r="0" t="0"/>
            <wp:docPr descr="Figure 10: Dead and viable seedbank density from 2014 through 2019. 2018 seedbank density was not evaluated due to weather adversity." title="" id="73" name="Picture"/>
            <a:graphic>
              <a:graphicData uri="http://schemas.openxmlformats.org/drawingml/2006/picture">
                <pic:pic>
                  <pic:nvPicPr>
                    <pic:cNvPr descr="results_files/figure-docx/seedbank-14-19-box-1.png" id="74" name="Picture"/>
                    <pic:cNvPicPr>
                      <a:picLocks noChangeArrowheads="1" noChangeAspect="1"/>
                    </pic:cNvPicPr>
                  </pic:nvPicPr>
                  <pic:blipFill>
                    <a:blip r:embed="rId7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Dead and viable seedbank density from 2014 through 2019. 2018 seedbank density was not evaluated due to weather adversity.</w:t>
      </w:r>
    </w:p>
    <w:p>
      <w:pPr>
        <w:pStyle w:val="SourceCode"/>
      </w:pPr>
      <w:r>
        <w:rPr>
          <w:rStyle w:val="NormalTok"/>
        </w:rPr>
        <w:t xml:space="preserve">emerge_from_soil_sb_wide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(Cohort), </w:t>
      </w:r>
      <w:r>
        <w:rPr>
          <w:rStyle w:val="AttributeTok"/>
        </w:rPr>
        <w:t xml:space="preserve">y =</w:t>
      </w:r>
      <w:r>
        <w:rPr>
          <w:rStyle w:val="NormalTok"/>
        </w:rPr>
        <w:t xml:space="preserve"> emerge_total_pct))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(Crop_ID </w:t>
      </w:r>
      <w:r>
        <w:rPr>
          <w:rStyle w:val="SpecialCharTok"/>
        </w:rPr>
        <w:t xml:space="preserve">~</w:t>
      </w:r>
      <w:r>
        <w:rPr>
          <w:rStyle w:val="NormalTok"/>
        </w:rPr>
        <w:t xml:space="preserve">  Corn_weed_management ,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8534400"/>
            <wp:effectExtent b="0" l="0" r="0" t="0"/>
            <wp:docPr descr="" title="" id="76" name="Picture"/>
            <a:graphic>
              <a:graphicData uri="http://schemas.openxmlformats.org/drawingml/2006/picture">
                <pic:pic>
                  <pic:nvPicPr>
                    <pic:cNvPr descr="results_files/figure-docx/cumu-20-emerge-all-boxp-1.png" id="77" name="Picture"/>
                    <pic:cNvPicPr>
                      <a:picLocks noChangeArrowheads="1" noChangeAspect="1"/>
                    </pic:cNvPicPr>
                  </pic:nvPicPr>
                  <pic:blipFill>
                    <a:blip r:embed="rId75"/>
                    <a:stretch>
                      <a:fillRect/>
                    </a:stretch>
                  </pic:blipFill>
                  <pic:spPr bwMode="auto">
                    <a:xfrm>
                      <a:off x="0" y="0"/>
                      <a:ext cx="5334000" cy="8534400"/>
                    </a:xfrm>
                    <a:prstGeom prst="rect">
                      <a:avLst/>
                    </a:prstGeom>
                    <a:noFill/>
                    <a:ln w="9525">
                      <a:noFill/>
                      <a:headEnd/>
                      <a:tailEnd/>
                    </a:ln>
                  </pic:spPr>
                </pic:pic>
              </a:graphicData>
            </a:graphic>
          </wp:inline>
        </w:drawing>
      </w:r>
    </w:p>
    <w:bookmarkEnd w:id="78"/>
    <w:bookmarkStart w:id="88"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(eu_female_cohort_Density_begin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 =</w:t>
      </w:r>
      <w:r>
        <w:rPr>
          <w:rStyle w:val="NormalTok"/>
        </w:rPr>
        <w:t xml:space="preserve"> density_emerge_19)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68.42   2.793  0.0468</w:t>
      </w:r>
      <w:r>
        <w:br/>
      </w:r>
      <w:r>
        <w:rPr>
          <w:rStyle w:val="VerbatimChar"/>
        </w:rPr>
        <w:t xml:space="preserve">##  Crop_ID                        8 54.23 222.641  &lt;.0001</w:t>
      </w:r>
      <w:r>
        <w:br/>
      </w:r>
      <w:r>
        <w:rPr>
          <w:rStyle w:val="VerbatimChar"/>
        </w:rPr>
        <w:t xml:space="preserve">##  Corn_weed_management           1 54.23   0.518  0.4749</w:t>
      </w:r>
      <w:r>
        <w:br/>
      </w:r>
      <w:r>
        <w:rPr>
          <w:rStyle w:val="VerbatimChar"/>
        </w:rPr>
        <w:t xml:space="preserve">##  Cohort                         5 75.61 438.355  &lt;.0001</w:t>
      </w:r>
      <w:r>
        <w:br/>
      </w:r>
      <w:r>
        <w:rPr>
          <w:rStyle w:val="VerbatimChar"/>
        </w:rPr>
        <w:t xml:space="preserve">##  Crop_ID:Corn_weed_management   8 68.42   0.956  0.4772</w:t>
      </w:r>
      <w:r>
        <w:br/>
      </w:r>
      <w:r>
        <w:rPr>
          <w:rStyle w:val="VerbatimChar"/>
        </w:rPr>
        <w:t xml:space="preserve">##  Crop_ID:Cohort                40 75.61  46.683  &lt;.0001</w:t>
      </w:r>
      <w:r>
        <w:br/>
      </w:r>
      <w:r>
        <w:rPr>
          <w:rStyle w:val="VerbatimChar"/>
        </w:rPr>
        <w:t xml:space="preserve">##  Corn_weed_management:Cohort    5 75.61   1.569  0.1790</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65.97   2.376  0.0779</w:t>
      </w:r>
      <w:r>
        <w:br/>
      </w:r>
      <w:r>
        <w:rPr>
          <w:rStyle w:val="VerbatimChar"/>
        </w:rPr>
        <w:t xml:space="preserve">##  Crop_ID                        8 57.25   9.890  &lt;.0001</w:t>
      </w:r>
      <w:r>
        <w:br/>
      </w:r>
      <w:r>
        <w:rPr>
          <w:rStyle w:val="VerbatimChar"/>
        </w:rPr>
        <w:t xml:space="preserve">##  Corn_weed_management           1 57.25  13.732  0.0005</w:t>
      </w:r>
      <w:r>
        <w:br/>
      </w:r>
      <w:r>
        <w:rPr>
          <w:rStyle w:val="VerbatimChar"/>
        </w:rPr>
        <w:t xml:space="preserve">##  Cohort                         5 66.34  40.266  &lt;.0001</w:t>
      </w:r>
      <w:r>
        <w:br/>
      </w:r>
      <w:r>
        <w:rPr>
          <w:rStyle w:val="VerbatimChar"/>
        </w:rPr>
        <w:t xml:space="preserve">##  Crop_ID:Corn_weed_management   8 65.97   5.920  &lt;.0001</w:t>
      </w:r>
      <w:r>
        <w:br/>
      </w:r>
      <w:r>
        <w:rPr>
          <w:rStyle w:val="VerbatimChar"/>
        </w:rPr>
        <w:t xml:space="preserve">##  Crop_ID:Cohort                40 66.34  11.498  &lt;.0001</w:t>
      </w:r>
      <w:r>
        <w:br/>
      </w:r>
      <w:r>
        <w:rPr>
          <w:rStyle w:val="VerbatimChar"/>
        </w:rPr>
        <w:t xml:space="preserve">##  Corn_weed_management:Cohort    5 66.34   5.185  0.0004</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 </w:t>
      </w:r>
      <w:r>
        <w:rPr>
          <w:rStyle w:val="SpecialCharTok"/>
        </w:rPr>
        <w:t xml:space="preserve">*</w:t>
      </w:r>
      <w:r>
        <w:rPr>
          <w:rStyle w:val="NormalTok"/>
        </w:rPr>
        <w:t xml:space="preserve"> Corn_weed_management,</w:t>
      </w:r>
      <w:r>
        <w:br/>
      </w:r>
      <w:r>
        <w:rPr>
          <w:rStyle w:val="AttributeTok"/>
        </w:rPr>
        <w:t xml:space="preserve">data =</w:t>
      </w:r>
      <w:r>
        <w:rPr>
          <w:rStyle w:val="NormalTok"/>
        </w:rPr>
        <w:t xml:space="preserve"> cohort1_2019)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 p.value</w:t>
      </w:r>
      <w:r>
        <w:br/>
      </w:r>
      <w:r>
        <w:rPr>
          <w:rStyle w:val="VerbatimChar"/>
        </w:rPr>
        <w:t xml:space="preserve">##  Block                       3  61   0.000  1.0000</w:t>
      </w:r>
      <w:r>
        <w:br/>
      </w:r>
      <w:r>
        <w:rPr>
          <w:rStyle w:val="VerbatimChar"/>
        </w:rPr>
        <w:t xml:space="preserve">##  Crop                        3  61 458.187  &lt;.0001</w:t>
      </w:r>
      <w:r>
        <w:br/>
      </w:r>
      <w:r>
        <w:rPr>
          <w:rStyle w:val="VerbatimChar"/>
        </w:rPr>
        <w:t xml:space="preserve">##  Corn_weed_management        1  61   0.000  1.0000</w:t>
      </w:r>
      <w:r>
        <w:br/>
      </w:r>
      <w:r>
        <w:rPr>
          <w:rStyle w:val="VerbatimChar"/>
        </w:rPr>
        <w:t xml:space="preserve">##  Crop:Corn_weed_management   3  61   0.000  1.0000</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61    10.170  &lt;.0001</w:t>
      </w:r>
      <w:r>
        <w:br/>
      </w:r>
      <w:r>
        <w:rPr>
          <w:rStyle w:val="VerbatimChar"/>
        </w:rPr>
        <w:t xml:space="preserve">##  Crop                        3  61 64217.940  &lt;.0001</w:t>
      </w:r>
      <w:r>
        <w:br/>
      </w:r>
      <w:r>
        <w:rPr>
          <w:rStyle w:val="VerbatimChar"/>
        </w:rPr>
        <w:t xml:space="preserve">##  Corn_weed_management        1  61     0.000  1.0000</w:t>
      </w:r>
      <w:r>
        <w:br/>
      </w:r>
      <w:r>
        <w:rPr>
          <w:rStyle w:val="VerbatimChar"/>
        </w:rPr>
        <w:t xml:space="preserve">##  Crop:Corn_weed_management   3  61     0.000  1.0000</w:t>
      </w:r>
    </w:p>
    <w:p>
      <w:pPr>
        <w:pStyle w:val="CaptionedFigure"/>
      </w:pPr>
      <w:r>
        <w:drawing>
          <wp:inline>
            <wp:extent cx="5334000" cy="8534400"/>
            <wp:effectExtent b="0" l="0" r="0" t="0"/>
            <wp:docPr descr="Figure 11: Diagnosis plots for the effects of crop identity and corn weed management on the seedbank densities at the top (A) and bottom (B) soil strata" title="" id="80" name="Picture"/>
            <a:graphic>
              <a:graphicData uri="http://schemas.openxmlformats.org/drawingml/2006/picture">
                <pic:pic>
                  <pic:nvPicPr>
                    <pic:cNvPr descr="results_files/figure-docx/unnamed-chunk-18-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12: Diagnosis plot for the effects of crop identity, corn weed management, and cohort on seedling densities in 2019" title="" id="83" name="Picture"/>
            <a:graphic>
              <a:graphicData uri="http://schemas.openxmlformats.org/drawingml/2006/picture">
                <pic:pic>
                  <pic:nvPicPr>
                    <pic:cNvPr descr="results_files/figure-docx/emerge-pattern-19-1.png" id="84" name="Picture"/>
                    <pic:cNvPicPr>
                      <a:picLocks noChangeArrowheads="1" noChangeAspect="1"/>
                    </pic:cNvPicPr>
                  </pic:nvPicPr>
                  <pic:blipFill>
                    <a:blip r:embed="rId8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12: Diagnosis plot for the effects of crop identity, corn weed management, and cohort on seedling densities in 2019</w:t>
      </w:r>
    </w:p>
    <w:p>
      <w:pPr>
        <w:pStyle w:val="CaptionedFigure"/>
      </w:pPr>
      <w:r>
        <w:drawing>
          <wp:inline>
            <wp:extent cx="5334000" cy="8534400"/>
            <wp:effectExtent b="0" l="0" r="0" t="0"/>
            <wp:docPr descr="Figure 13: Diagnosis plot for the effects of crop identity, corn weed management, and cohort on seedling densities in 2020" title="" id="86" name="Picture"/>
            <a:graphic>
              <a:graphicData uri="http://schemas.openxmlformats.org/drawingml/2006/picture">
                <pic:pic>
                  <pic:nvPicPr>
                    <pic:cNvPr descr="results_files/figure-docx/emerge-pattern-20-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13: Diagnosis plot for the effects of crop identity, corn weed management, and cohort on seedling densities in 2020</w:t>
      </w:r>
    </w:p>
    <w:bookmarkEnd w:id="88"/>
    <w:bookmarkStart w:id="89" w:name="female-survival-rate-by-cohort"/>
    <w:p>
      <w:pPr>
        <w:pStyle w:val="Heading3"/>
      </w:pPr>
      <w:r>
        <w:t xml:space="preserve">2019 female survival rate by cohort</w:t>
      </w:r>
    </w:p>
    <w:p>
      <w:pPr>
        <w:pStyle w:val="TableCaption"/>
      </w:pPr>
      <w:r>
        <w:t xml:space="preserve">Table 6: Point-estimates of 2019 seedling to maturity survival rates by cohort. Some zeroes are due to rounding.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2"/>
        <w:gridCol w:w="2163"/>
        <w:gridCol w:w="722"/>
        <w:gridCol w:w="722"/>
        <w:gridCol w:w="722"/>
        <w:gridCol w:w="722"/>
        <w:gridCol w:w="722"/>
        <w:gridCol w:w="722"/>
      </w:tblGrid>
      <w:tr>
        <w:trPr>
          <w:cantSplit/>
          <w:trHeight w:val="53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Cohort</w:t>
            </w:r>
          </w:p>
        </w:tc>
      </w:tr>
      <w:tr>
        <w:trPr>
          <w:cantSplit/>
          <w:trHeight w:val="564"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w:t>
            </w:r>
          </w:p>
        </w:tc>
      </w:tr>
      <w:tr>
        <w:trPr>
          <w:cantSplit/>
          <w:trHeight w:val="53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r>
      <w:tr>
        <w:trPr>
          <w:cantSplit/>
          <w:trHeight w:val="53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r>
      <w:tr>
        <w:trPr>
          <w:cantSplit/>
          <w:trHeight w:val="53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r>
        <w:trPr>
          <w:cantSplit/>
          <w:trHeight w:val="5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r>
      <w:tr>
        <w:trPr>
          <w:cantSplit/>
          <w:trHeight w:val="532"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r>
      <w:tr>
        <w:trPr>
          <w:cantSplit/>
          <w:trHeight w:val="52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28"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bl>
    <w:bookmarkEnd w:id="89"/>
    <w:bookmarkStart w:id="98" w:name="matrix-assembly"/>
    <w:p>
      <w:pPr>
        <w:pStyle w:val="Heading3"/>
      </w:pPr>
      <w:r>
        <w:t xml:space="preserve">Matrix assembly</w:t>
      </w:r>
    </w:p>
    <w:p>
      <w:pPr>
        <w:pStyle w:val="FirstParagraph"/>
      </w:pPr>
      <w:r>
        <w:t xml:space="preserve">The structure of all periodic matrices used in the two different scenarios are listed below. All numbers are female-only. Each theoretical matrix for a sub-annual period is followed by the set of matrices used in that sub-annual period. The abbreviate row and column names are:</w:t>
      </w:r>
      <w:r>
        <w:br/>
      </w:r>
      <w:r>
        <w:t xml:space="preserve">- s_t: seed at the top stratum (0 - 2 cm),</w:t>
      </w:r>
      <w:r>
        <w:br/>
      </w:r>
      <w:r>
        <w:t xml:space="preserve">- s_b: seed at the bottom stratum (2 - 20 cm),</w:t>
      </w:r>
      <w:r>
        <w:br/>
      </w:r>
      <w:r>
        <w:t xml:space="preserve">- p_co_1 through p_co_6: plant cohort 1 through 6.</w:t>
      </w:r>
    </w:p>
    <w:bookmarkStart w:id="94" w:name="published-literature-data"/>
    <w:p>
      <w:pPr>
        <w:pStyle w:val="Heading4"/>
      </w:pPr>
      <w:r>
        <w:t xml:space="preserve">Published literature data</w:t>
      </w:r>
    </w:p>
    <w:bookmarkStart w:id="90" w:name="X25ebf5f357bc3f697a63ede840897b15e2ebf90"/>
    <w:p>
      <w:pPr>
        <w:pStyle w:val="Heading5"/>
      </w:pPr>
      <w:r>
        <w:t xml:space="preserve">Pre-planting tillage induced vertical redistribution of seeds</w:t>
      </w:r>
    </w:p>
    <w:p>
      <w:pPr>
        <w:pStyle w:val="FirstParagraph"/>
      </w:pPr>
      <w:r>
        <w:t xml:space="preserve">The only non-zeroes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estimates vertical seed movement after various types of tillage: the proportion of seeds staying at its original soil stratum,</w:t>
      </w:r>
      <w:r>
        <w:t xml:space="preserve"> </w:t>
      </w:r>
      <m:oMath>
        <m:sSub>
          <m:e>
            <m:r>
              <m:t>t</m:t>
            </m:r>
          </m:e>
          <m:sub>
            <m:r>
              <m:t>11</m:t>
            </m:r>
            <m:r>
              <m:rPr>
                <m:sty m:val="p"/>
              </m:rPr>
              <m:t>,</m:t>
            </m:r>
            <m:r>
              <m:t>s</m:t>
            </m:r>
          </m:sub>
        </m:sSub>
      </m:oMath>
      <w:r>
        <w:t xml:space="preserve"> </w:t>
      </w:r>
      <w:r>
        <w:t xml:space="preserve">and</w:t>
      </w:r>
      <w:r>
        <w:t xml:space="preserve"> </w:t>
      </w:r>
      <m:oMath>
        <m:sSub>
          <m:e>
            <m:r>
              <m:t>t</m:t>
            </m:r>
          </m:e>
          <m:sub>
            <m:r>
              <m:t>22</m:t>
            </m:r>
            <m:r>
              <m:rPr>
                <m:sty m:val="p"/>
              </m:rPr>
              <m:t>,</m:t>
            </m:r>
            <m:r>
              <m:t>s</m:t>
            </m:r>
          </m:sub>
        </m:sSub>
      </m:oMath>
      <w:r>
        <w:t xml:space="preserve">, or move to another stratum,</w:t>
      </w:r>
      <w:r>
        <w:t xml:space="preserve"> </w:t>
      </w:r>
      <m:oMath>
        <m:sSub>
          <m:e>
            <m:r>
              <m:t>t</m:t>
            </m:r>
          </m:e>
          <m:sub>
            <m:r>
              <m:t>12</m:t>
            </m:r>
            <m:r>
              <m:rPr>
                <m:sty m:val="p"/>
              </m:rPr>
              <m:t>,</m:t>
            </m:r>
            <m:r>
              <m:t>s</m:t>
            </m:r>
          </m:sub>
        </m:sSub>
      </m:oMath>
      <w:r>
        <w:t xml:space="preserve"> </w:t>
      </w:r>
      <w:r>
        <w:t xml:space="preserve">and</w:t>
      </w:r>
      <w:r>
        <w:t xml:space="preserve"> </w:t>
      </w:r>
      <m:oMath>
        <m:sSub>
          <m:e>
            <m:r>
              <m:t>t</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pPr>
        <w:pStyle w:val="BodyText"/>
      </w:pPr>
      <w:r>
        <w:t xml:space="preserve">No-till is represented by an identical matrix,</w:t>
      </w:r>
      <w:r>
        <w:t xml:space="preserve"> </w:t>
      </w:r>
      <m:oMath>
        <m:r>
          <m:t>I</m:t>
        </m:r>
      </m:oMath>
      <w:r>
        <w:t xml:space="preserve">, after</w:t>
      </w:r>
      <w:r>
        <w:t xml:space="preserve"> </w:t>
      </w:r>
      <w:r>
        <w:t xml:space="preserve">Cousens and Moss (1990)</w:t>
      </w:r>
      <w:r>
        <w:t xml:space="preserve">.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m:oMathPara>
        <m:oMathParaPr>
          <m:jc m:val="center"/>
        </m:oMathParaPr>
        <m:oMath>
          <m:sSub>
            <m:e>
              <m:r>
                <m:t>B</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s</m:t>
                        </m:r>
                      </m:sub>
                    </m:sSub>
                  </m:e>
                  <m:e>
                    <m:sSub>
                      <m:e>
                        <m:r>
                          <m:t>t</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s</m:t>
                        </m:r>
                      </m:sub>
                    </m:sSub>
                  </m:e>
                  <m:e>
                    <m:sSub>
                      <m:e>
                        <m:r>
                          <m:t>t</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pre-planting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90"/>
    <w:bookmarkStart w:id="91"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s</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t>B</m:t>
              </m:r>
            </m:e>
            <m:sub>
              <m: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s</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s</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s</m:t>
            </m:r>
          </m:e>
          <m:sub>
            <m:sSub>
              <m:e>
                <m:r>
                  <m:t>s</m:t>
                </m:r>
              </m:e>
              <m:sub>
                <m:r>
                  <m:t>1</m:t>
                </m:r>
              </m:sub>
            </m:sSub>
          </m:sub>
        </m:sSub>
      </m:oMath>
      <w:r>
        <w:t xml:space="preserve"> </w:t>
      </w:r>
      <w:r>
        <w:t xml:space="preserve">and</w:t>
      </w:r>
      <w:r>
        <w:t xml:space="preserve"> </w:t>
      </w:r>
      <m:oMath>
        <m:sSub>
          <m:e>
            <m:r>
              <m:t>s</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was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pPr>
        <w:pStyle w:val="BodyText"/>
      </w:pPr>
      <w:r>
        <w:t xml:space="preserve">The empirically measured data for seedling survival were deemed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results were used for soybean crop environments. The seedling survival rates by cohort (</w:t>
      </w:r>
      <m:oMath>
        <m:sSub>
          <m:e>
            <m:r>
              <m:t>s</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w:t>
      </w:r>
      <w:r>
        <w:t xml:space="preserve"> </w:t>
      </w:r>
      <w:r>
        <w:t xml:space="preserve">(Nguyen and Liebman, 2022b and citations given there)</w:t>
      </w:r>
      <w:r>
        <w:t xml:space="preserve">.</w:t>
      </w:r>
    </w:p>
    <w:p>
      <w:pPr>
        <w:pStyle w:val="BodyText"/>
      </w:pPr>
      <w:r>
        <w:t xml:space="preserve">The same summer survival rates were used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p>
    <w:bookmarkEnd w:id="91"/>
    <w:bookmarkStart w:id="92"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t</m:t>
            </m:r>
            <m:d>
              <m:dPr>
                <m:begChr m:val="("/>
                <m:endChr m:val=")"/>
                <m:sepChr m:val=""/>
                <m:grow/>
              </m:dPr>
              <m:e>
                <m:r>
                  <m:t>f</m:t>
                </m:r>
              </m:e>
            </m:d>
          </m:sub>
        </m:sSub>
      </m:oMath>
      <w:r>
        <w:t xml:space="preserve"> </w:t>
      </w:r>
      <w:r>
        <w:t xml:space="preserve">was the similar to that of</w:t>
      </w:r>
      <w:r>
        <w:t xml:space="preserve"> </w:t>
      </w:r>
      <m:oMath>
        <m:sSub>
          <m:e>
            <m:r>
              <m:t>B</m:t>
            </m:r>
          </m:e>
          <m:sub>
            <m:r>
              <m:t>t</m:t>
            </m:r>
            <m:d>
              <m:dPr>
                <m:begChr m:val="("/>
                <m:endChr m:val=")"/>
                <m:sepChr m:val=""/>
                <m:grow/>
              </m:dPr>
              <m:e>
                <m:r>
                  <m:t>s</m:t>
                </m:r>
              </m:e>
            </m:d>
          </m:sub>
        </m:sSub>
      </m:oMath>
      <w:r>
        <w:t xml:space="preserve">. Chisel plowing was applied after corn was harvested in the C2, C3, and C4 treatments, no-till was applied after harvests in the S2, S3, S4, and O4 treatments, and moldboard plowing was applied at the end of the O3 and A4 phases.</w:t>
      </w:r>
    </w:p>
    <w:p>
      <w:pPr>
        <w:pStyle w:val="BodyText"/>
      </w:pPr>
      <m:oMathPara>
        <m:oMathParaPr>
          <m:jc m:val="center"/>
        </m:oMathParaPr>
        <m:oMath>
          <m:sSub>
            <m:e>
              <m:r>
                <m:t>B</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f</m:t>
                        </m:r>
                      </m:sub>
                    </m:sSub>
                  </m:e>
                  <m:e>
                    <m:sSub>
                      <m:e>
                        <m:r>
                          <m:t>t</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f</m:t>
                        </m:r>
                      </m:sub>
                    </m:sSub>
                  </m:e>
                  <m:e>
                    <m:sSub>
                      <m:e>
                        <m:r>
                          <m:t>t</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post-harvest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p>
    <w:bookmarkEnd w:id="92"/>
    <w:bookmarkStart w:id="93" w:name="overwinter-survival"/>
    <w:p>
      <w:pPr>
        <w:pStyle w:val="Heading5"/>
      </w:pPr>
      <w:r>
        <w:t xml:space="preserve">Overwinter survival</w:t>
      </w:r>
    </w:p>
    <w:p>
      <w:pPr>
        <w:pStyle w:val="FirstParagraph"/>
      </w:pPr>
      <w:r>
        <w:t xml:space="preserve">The compilation of matrix</w:t>
      </w:r>
      <w:r>
        <w:t xml:space="preserve"> </w:t>
      </w:r>
      <m:oMath>
        <m:sSub>
          <m:e>
            <m:r>
              <m:t>B</m:t>
            </m:r>
          </m:e>
          <m:sub>
            <m:r>
              <m:t>o</m:t>
            </m:r>
          </m:sub>
        </m:sSub>
      </m:oMath>
      <w:r>
        <w:t xml:space="preserve"> </w:t>
      </w:r>
      <w:r>
        <w:t xml:space="preserve">was similar to that of</w:t>
      </w:r>
      <w:r>
        <w:t xml:space="preserve"> </w:t>
      </w:r>
      <m:oMath>
        <m:sSub>
          <m:e>
            <m:r>
              <m:t>B</m:t>
            </m:r>
          </m:e>
          <m:sub>
            <m:r>
              <m:t>s</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p>
    <w:p>
      <w:pPr>
        <w:pStyle w:val="BodyText"/>
      </w:pPr>
      <m:oMathPara>
        <m:oMathParaPr>
          <m:jc m:val="center"/>
        </m:oMathParaPr>
        <m:oMath>
          <m:sSub>
            <m:e>
              <m:r>
                <m:rPr>
                  <m:sty m:val="b"/>
                </m:rPr>
                <m:t>B</m:t>
              </m:r>
            </m:e>
            <m:sub>
              <m:r>
                <m:rPr>
                  <m:sty m:val="b"/>
                </m:rPr>
                <m:t>o</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o</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o</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overwinter survival rates were used in 2018 and 2019. Some zero values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93"/>
    <w:bookmarkEnd w:id="94"/>
    <w:bookmarkStart w:id="97" w:name="empirically-measured-data"/>
    <w:p>
      <w:pPr>
        <w:pStyle w:val="Heading4"/>
      </w:pPr>
      <w:r>
        <w:t xml:space="preserve">Empirically measured data</w:t>
      </w:r>
    </w:p>
    <w:bookmarkStart w:id="95" w:name="seedling-recruitment"/>
    <w:p>
      <w:pPr>
        <w:pStyle w:val="Heading5"/>
      </w:pPr>
      <w:r>
        <w:t xml:space="preserve">Seedling recruitment</w:t>
      </w:r>
    </w:p>
    <w:p>
      <w:pPr>
        <w:pStyle w:val="FirstParagraph"/>
      </w:pPr>
      <w:r>
        <w:t xml:space="preserve">The emergence proportions calculated from step 5 here are positioned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g</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g</m:t>
            </m:r>
          </m:e>
          <m:sub>
            <m:r>
              <m:t>k</m:t>
            </m:r>
          </m:sub>
        </m:sSub>
      </m:oMath>
      <w:r>
        <w:t xml:space="preserve"> </w:t>
      </w:r>
      <w:r>
        <w:t xml:space="preserve">represents the proportion of non-emerging seeds.</w:t>
      </w:r>
    </w:p>
    <w:p>
      <w:pPr>
        <w:pStyle w:val="BodyText"/>
      </w:pPr>
      <m:oMathPara>
        <m:oMathParaPr>
          <m:jc m:val="center"/>
        </m:oMathParaPr>
        <m:oMath>
          <m:sSub>
            <m:e>
              <m:r>
                <m:rPr>
                  <m:sty m:val="b"/>
                </m:rPr>
                <m:t>B</m:t>
              </m:r>
            </m:e>
            <m:sub>
              <m:r>
                <m:rPr>
                  <m:sty m:val="b"/>
                </m:rP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g</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g</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seedling emergence from the top 0-2 cm soil seedbank stratum in each crop identity crossed with corn weed management regime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plowing matrices, as detailed in the</w:t>
      </w:r>
      <w:r>
        <w:t xml:space="preserve"> </w:t>
      </w:r>
      <w:r>
        <w:rPr>
          <w:iCs/>
          <w:i/>
        </w:rPr>
        <w:t xml:space="preserve">Post-harvest tillage induced seed vertical movement</w:t>
      </w:r>
      <w:r>
        <w:t xml:space="preserve">, to yield</w:t>
      </w:r>
      <w:r>
        <w:t xml:space="preserve"> </w:t>
      </w:r>
      <m:oMath>
        <m:sSub>
          <m:e>
            <m:r>
              <m:t>N</m:t>
            </m:r>
          </m:e>
          <m:sub>
            <m:r>
              <m:t>t</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t</m:t>
            </m:r>
            <m:d>
              <m:dPr>
                <m:begChr m:val="("/>
                <m:endChr m:val=")"/>
                <m:sepChr m:val=""/>
                <m:grow/>
              </m:dPr>
              <m:e>
                <m:r>
                  <m:t>f</m:t>
                </m:r>
              </m:e>
            </m:d>
          </m:sub>
        </m:sSub>
      </m:oMath>
      <w:r>
        <w:t xml:space="preserve"> </w:t>
      </w:r>
      <w:r>
        <w:t xml:space="preserve">to yield</w:t>
      </w:r>
      <w:r>
        <w:t xml:space="preserve"> </w:t>
      </w:r>
      <m:oMath>
        <m:sSub>
          <m:e>
            <m:r>
              <m:t>N</m:t>
            </m:r>
          </m:e>
          <m:sub>
            <m:r>
              <m:t>o</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t</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11</m:t>
            </m:r>
            <m:r>
              <m:rPr>
                <m:sty m:val="p"/>
              </m:rPr>
              <m:t>,</m:t>
            </m:r>
            <m:r>
              <m:t>f</m:t>
            </m:r>
          </m:sub>
        </m:sSub>
      </m:oMath>
      <w:r>
        <w:t xml:space="preserve">, the top soil stratum seed density to yield</w:t>
      </w:r>
      <w:r>
        <w:t xml:space="preserve"> </w:t>
      </w:r>
      <m:oMath>
        <m:sSub>
          <m:e>
            <m:r>
              <m:t>g</m:t>
            </m:r>
          </m:e>
          <m:sub>
            <m:r>
              <m:t>k</m:t>
            </m:r>
          </m:sub>
        </m:sSub>
      </m:oMath>
      <w:r>
        <w:t xml:space="preserve">.</w:t>
      </w:r>
    </w:p>
    <w:p>
      <w:pPr>
        <w:pStyle w:val="BodyText"/>
      </w:pPr>
      <w:r>
        <w:t xml:space="preserve">The same emergence rates were used in 2018 and 2019. Some zero values in the first column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0.56527   0      0      0      0      0      0      0</w:t>
      </w:r>
      <w:r>
        <w:br/>
      </w:r>
      <w:r>
        <w:rPr>
          <w:rStyle w:val="VerbatimChar"/>
        </w:rPr>
        <w:t xml:space="preserve">## s_b    0.00000   1      0      0      0      0      0      0</w:t>
      </w:r>
      <w:r>
        <w:br/>
      </w:r>
      <w:r>
        <w:rPr>
          <w:rStyle w:val="VerbatimChar"/>
        </w:rPr>
        <w:t xml:space="preserve">## p_co_1 0.08562   0      0      0      0      0      0      0</w:t>
      </w:r>
      <w:r>
        <w:br/>
      </w:r>
      <w:r>
        <w:rPr>
          <w:rStyle w:val="VerbatimChar"/>
        </w:rPr>
        <w:t xml:space="preserve">## p_co_2 0.19256   0      0      0      0      0      0      0</w:t>
      </w:r>
      <w:r>
        <w:br/>
      </w:r>
      <w:r>
        <w:rPr>
          <w:rStyle w:val="VerbatimChar"/>
        </w:rPr>
        <w:t xml:space="preserve">## p_co_3 0.00164   0      0      0      0      0      0      0</w:t>
      </w:r>
      <w:r>
        <w:br/>
      </w:r>
      <w:r>
        <w:rPr>
          <w:rStyle w:val="VerbatimChar"/>
        </w:rPr>
        <w:t xml:space="preserve">## p_co_4 0.14593   0      0      0      0      0      0      0</w:t>
      </w:r>
      <w:r>
        <w:br/>
      </w:r>
      <w:r>
        <w:rPr>
          <w:rStyle w:val="VerbatimChar"/>
        </w:rPr>
        <w:t xml:space="preserve">## p_co_5 0.00705   0      0      0      0      0      0      0</w:t>
      </w:r>
      <w:r>
        <w:br/>
      </w:r>
      <w:r>
        <w:rPr>
          <w:rStyle w:val="VerbatimChar"/>
        </w:rPr>
        <w:t xml:space="preserve">## p_co_6 0.00194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0.61054   0      0      0      0      0      0      0</w:t>
      </w:r>
      <w:r>
        <w:br/>
      </w:r>
      <w:r>
        <w:rPr>
          <w:rStyle w:val="VerbatimChar"/>
        </w:rPr>
        <w:t xml:space="preserve">## s_b    0.00000   1      0      0      0      0      0      0</w:t>
      </w:r>
      <w:r>
        <w:br/>
      </w:r>
      <w:r>
        <w:rPr>
          <w:rStyle w:val="VerbatimChar"/>
        </w:rPr>
        <w:t xml:space="preserve">## p_co_1 0.07651   0      0      0      0      0      0      0</w:t>
      </w:r>
      <w:r>
        <w:br/>
      </w:r>
      <w:r>
        <w:rPr>
          <w:rStyle w:val="VerbatimChar"/>
        </w:rPr>
        <w:t xml:space="preserve">## p_co_2 0.17070   0      0      0      0      0      0      0</w:t>
      </w:r>
      <w:r>
        <w:br/>
      </w:r>
      <w:r>
        <w:rPr>
          <w:rStyle w:val="VerbatimChar"/>
        </w:rPr>
        <w:t xml:space="preserve">## p_co_3 0.00253   0      0      0      0      0      0      0</w:t>
      </w:r>
      <w:r>
        <w:br/>
      </w:r>
      <w:r>
        <w:rPr>
          <w:rStyle w:val="VerbatimChar"/>
        </w:rPr>
        <w:t xml:space="preserve">## p_co_4 0.12963   0      0      0      0      0      0      0</w:t>
      </w:r>
      <w:r>
        <w:br/>
      </w:r>
      <w:r>
        <w:rPr>
          <w:rStyle w:val="VerbatimChar"/>
        </w:rPr>
        <w:t xml:space="preserve">## p_co_5 0.00730   0      0      0      0      0      0      0</w:t>
      </w:r>
      <w:r>
        <w:br/>
      </w:r>
      <w:r>
        <w:rPr>
          <w:rStyle w:val="VerbatimChar"/>
        </w:rPr>
        <w:t xml:space="preserve">## p_co_6 0.00280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0.99758   0      0      0      0      0      0      0</w:t>
      </w:r>
      <w:r>
        <w:br/>
      </w:r>
      <w:r>
        <w:rPr>
          <w:rStyle w:val="VerbatimChar"/>
        </w:rPr>
        <w:t xml:space="preserve">## s_b    0.00000   1      0      0      0      0      0      0</w:t>
      </w:r>
      <w:r>
        <w:br/>
      </w:r>
      <w:r>
        <w:rPr>
          <w:rStyle w:val="VerbatimChar"/>
        </w:rPr>
        <w:t xml:space="preserve">## p_co_1 0.00020   0      0      0      0      0      0      0</w:t>
      </w:r>
      <w:r>
        <w:br/>
      </w:r>
      <w:r>
        <w:rPr>
          <w:rStyle w:val="VerbatimChar"/>
        </w:rPr>
        <w:t xml:space="preserve">## p_co_2 0.00221   0      0      0      0      0      0      0</w:t>
      </w:r>
      <w:r>
        <w:br/>
      </w:r>
      <w:r>
        <w:rPr>
          <w:rStyle w:val="VerbatimChar"/>
        </w:rPr>
        <w:t xml:space="preserve">## p_co_3 0.00000   0      0      0      0      0      0      0</w:t>
      </w:r>
      <w:r>
        <w:br/>
      </w:r>
      <w:r>
        <w:rPr>
          <w:rStyle w:val="VerbatimChar"/>
        </w:rPr>
        <w:t xml:space="preserve">## p_co_4 0.00000   0      0      0      0      0      0      0</w:t>
      </w:r>
      <w:r>
        <w:br/>
      </w:r>
      <w:r>
        <w:rPr>
          <w:rStyle w:val="VerbatimChar"/>
        </w:rPr>
        <w:t xml:space="preserve">## p_co_5 0.00000   0      0      0      0      0      0      0</w:t>
      </w:r>
      <w:r>
        <w:br/>
      </w:r>
      <w:r>
        <w:rPr>
          <w:rStyle w:val="VerbatimChar"/>
        </w:rPr>
        <w:t xml:space="preserve">## p_co_6 0.00000   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0.98906   0      0      0      0      0      0      0</w:t>
      </w:r>
      <w:r>
        <w:br/>
      </w:r>
      <w:r>
        <w:rPr>
          <w:rStyle w:val="VerbatimChar"/>
        </w:rPr>
        <w:t xml:space="preserve">## s_b    0.00000   1      0      0      0      0      0      0</w:t>
      </w:r>
      <w:r>
        <w:br/>
      </w:r>
      <w:r>
        <w:rPr>
          <w:rStyle w:val="VerbatimChar"/>
        </w:rPr>
        <w:t xml:space="preserve">## p_co_1 0.00149   0      0      0      0      0      0      0</w:t>
      </w:r>
      <w:r>
        <w:br/>
      </w:r>
      <w:r>
        <w:rPr>
          <w:rStyle w:val="VerbatimChar"/>
        </w:rPr>
        <w:t xml:space="preserve">## p_co_2 0.00746   0      0      0      0      0      0      0</w:t>
      </w:r>
      <w:r>
        <w:br/>
      </w:r>
      <w:r>
        <w:rPr>
          <w:rStyle w:val="VerbatimChar"/>
        </w:rPr>
        <w:t xml:space="preserve">## p_co_3 0.00070   0      0      0      0      0      0      0</w:t>
      </w:r>
      <w:r>
        <w:br/>
      </w:r>
      <w:r>
        <w:rPr>
          <w:rStyle w:val="VerbatimChar"/>
        </w:rPr>
        <w:t xml:space="preserve">## p_co_4 0.00051   0      0      0      0      0      0      0</w:t>
      </w:r>
      <w:r>
        <w:br/>
      </w:r>
      <w:r>
        <w:rPr>
          <w:rStyle w:val="VerbatimChar"/>
        </w:rPr>
        <w:t xml:space="preserve">## p_co_5 0.00040   0      0      0      0      0      0      0</w:t>
      </w:r>
      <w:r>
        <w:br/>
      </w:r>
      <w:r>
        <w:rPr>
          <w:rStyle w:val="VerbatimChar"/>
        </w:rPr>
        <w:t xml:space="preserve">## p_co_6 0.00039   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0.99269   0      0      0      0      0      0      0</w:t>
      </w:r>
      <w:r>
        <w:br/>
      </w:r>
      <w:r>
        <w:rPr>
          <w:rStyle w:val="VerbatimChar"/>
        </w:rPr>
        <w:t xml:space="preserve">## s_b    0.00000   1      0      0      0      0      0      0</w:t>
      </w:r>
      <w:r>
        <w:br/>
      </w:r>
      <w:r>
        <w:rPr>
          <w:rStyle w:val="VerbatimChar"/>
        </w:rPr>
        <w:t xml:space="preserve">## p_co_1 0.00073   0      0      0      0      0      0      0</w:t>
      </w:r>
      <w:r>
        <w:br/>
      </w:r>
      <w:r>
        <w:rPr>
          <w:rStyle w:val="VerbatimChar"/>
        </w:rPr>
        <w:t xml:space="preserve">## p_co_2 0.00644   0      0      0      0      0      0      0</w:t>
      </w:r>
      <w:r>
        <w:br/>
      </w:r>
      <w:r>
        <w:rPr>
          <w:rStyle w:val="VerbatimChar"/>
        </w:rPr>
        <w:t xml:space="preserve">## p_co_3 0.00001   0      0      0      0      0      0      0</w:t>
      </w:r>
      <w:r>
        <w:br/>
      </w:r>
      <w:r>
        <w:rPr>
          <w:rStyle w:val="VerbatimChar"/>
        </w:rPr>
        <w:t xml:space="preserve">## p_co_4 0.00012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0.97022   0      0      0      0      0      0      0</w:t>
      </w:r>
      <w:r>
        <w:br/>
      </w:r>
      <w:r>
        <w:rPr>
          <w:rStyle w:val="VerbatimChar"/>
        </w:rPr>
        <w:t xml:space="preserve">## s_b    0.00000   1      0      0      0      0      0      0</w:t>
      </w:r>
      <w:r>
        <w:br/>
      </w:r>
      <w:r>
        <w:rPr>
          <w:rStyle w:val="VerbatimChar"/>
        </w:rPr>
        <w:t xml:space="preserve">## p_co_1 0.00436   0      0      0      0      0      0      0</w:t>
      </w:r>
      <w:r>
        <w:br/>
      </w:r>
      <w:r>
        <w:rPr>
          <w:rStyle w:val="VerbatimChar"/>
        </w:rPr>
        <w:t xml:space="preserve">## p_co_2 0.01897   0      0      0      0      0      0      0</w:t>
      </w:r>
      <w:r>
        <w:br/>
      </w:r>
      <w:r>
        <w:rPr>
          <w:rStyle w:val="VerbatimChar"/>
        </w:rPr>
        <w:t xml:space="preserve">## p_co_3 0.00180   0      0      0      0      0      0      0</w:t>
      </w:r>
      <w:r>
        <w:br/>
      </w:r>
      <w:r>
        <w:rPr>
          <w:rStyle w:val="VerbatimChar"/>
        </w:rPr>
        <w:t xml:space="preserve">## p_co_4 0.00281   0      0      0      0      0      0      0</w:t>
      </w:r>
      <w:r>
        <w:br/>
      </w:r>
      <w:r>
        <w:rPr>
          <w:rStyle w:val="VerbatimChar"/>
        </w:rPr>
        <w:t xml:space="preserve">## p_co_5 0.00092   0      0      0      0      0      0      0</w:t>
      </w:r>
      <w:r>
        <w:br/>
      </w:r>
      <w:r>
        <w:rPr>
          <w:rStyle w:val="VerbatimChar"/>
        </w:rPr>
        <w:t xml:space="preserve">## p_co_6 0.00092   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0.94130   0      0      0      0      0      0      0</w:t>
      </w:r>
      <w:r>
        <w:br/>
      </w:r>
      <w:r>
        <w:rPr>
          <w:rStyle w:val="VerbatimChar"/>
        </w:rPr>
        <w:t xml:space="preserve">## s_b    0.00000   1      0      0      0      0      0      0</w:t>
      </w:r>
      <w:r>
        <w:br/>
      </w:r>
      <w:r>
        <w:rPr>
          <w:rStyle w:val="VerbatimChar"/>
        </w:rPr>
        <w:t xml:space="preserve">## p_co_1 0.00564   0      0      0      0      0      0      0</w:t>
      </w:r>
      <w:r>
        <w:br/>
      </w:r>
      <w:r>
        <w:rPr>
          <w:rStyle w:val="VerbatimChar"/>
        </w:rPr>
        <w:t xml:space="preserve">## p_co_2 0.05282   0      0      0      0      0      0      0</w:t>
      </w:r>
      <w:r>
        <w:br/>
      </w:r>
      <w:r>
        <w:rPr>
          <w:rStyle w:val="VerbatimChar"/>
        </w:rPr>
        <w:t xml:space="preserve">## p_co_3 0.00006   0      0      0      0      0      0      0</w:t>
      </w:r>
      <w:r>
        <w:br/>
      </w:r>
      <w:r>
        <w:rPr>
          <w:rStyle w:val="VerbatimChar"/>
        </w:rPr>
        <w:t xml:space="preserve">## p_co_4 0.00006   0      0      0      0      0      0      0</w:t>
      </w:r>
      <w:r>
        <w:br/>
      </w:r>
      <w:r>
        <w:rPr>
          <w:rStyle w:val="VerbatimChar"/>
        </w:rPr>
        <w:t xml:space="preserve">## p_co_5 0.00006   0      0      0      0      0      0      0</w:t>
      </w:r>
      <w:r>
        <w:br/>
      </w:r>
      <w:r>
        <w:rPr>
          <w:rStyle w:val="VerbatimChar"/>
        </w:rPr>
        <w:t xml:space="preserve">## p_co_6 0.00006   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0.80031   0      0      0      0      0      0      0</w:t>
      </w:r>
      <w:r>
        <w:br/>
      </w:r>
      <w:r>
        <w:rPr>
          <w:rStyle w:val="VerbatimChar"/>
        </w:rPr>
        <w:t xml:space="preserve">## s_b    0.00000   1      0      0      0      0      0      0</w:t>
      </w:r>
      <w:r>
        <w:br/>
      </w:r>
      <w:r>
        <w:rPr>
          <w:rStyle w:val="VerbatimChar"/>
        </w:rPr>
        <w:t xml:space="preserve">## p_co_1 0.02995   0      0      0      0      0      0      0</w:t>
      </w:r>
      <w:r>
        <w:br/>
      </w:r>
      <w:r>
        <w:rPr>
          <w:rStyle w:val="VerbatimChar"/>
        </w:rPr>
        <w:t xml:space="preserve">## p_co_2 0.13850   0      0      0      0      0      0      0</w:t>
      </w:r>
      <w:r>
        <w:br/>
      </w:r>
      <w:r>
        <w:rPr>
          <w:rStyle w:val="VerbatimChar"/>
        </w:rPr>
        <w:t xml:space="preserve">## p_co_3 0.01023   0      0      0      0      0      0      0</w:t>
      </w:r>
      <w:r>
        <w:br/>
      </w:r>
      <w:r>
        <w:rPr>
          <w:rStyle w:val="VerbatimChar"/>
        </w:rPr>
        <w:t xml:space="preserve">## p_co_4 0.00798   0      0      0      0      0      0      0</w:t>
      </w:r>
      <w:r>
        <w:br/>
      </w:r>
      <w:r>
        <w:rPr>
          <w:rStyle w:val="VerbatimChar"/>
        </w:rPr>
        <w:t xml:space="preserve">## p_co_5 0.00662   0      0      0      0      0      0      0</w:t>
      </w:r>
      <w:r>
        <w:br/>
      </w:r>
      <w:r>
        <w:rPr>
          <w:rStyle w:val="VerbatimChar"/>
        </w:rPr>
        <w:t xml:space="preserve">## p_co_6 0.00640   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0.99691   0      0      0      0      0      0      0</w:t>
      </w:r>
      <w:r>
        <w:br/>
      </w:r>
      <w:r>
        <w:rPr>
          <w:rStyle w:val="VerbatimChar"/>
        </w:rPr>
        <w:t xml:space="preserve">## s_b    0.00000   1      0      0      0      0      0      0</w:t>
      </w:r>
      <w:r>
        <w:br/>
      </w:r>
      <w:r>
        <w:rPr>
          <w:rStyle w:val="VerbatimChar"/>
        </w:rPr>
        <w:t xml:space="preserve">## p_co_1 0.00064   0      0      0      0      0      0      0</w:t>
      </w:r>
      <w:r>
        <w:br/>
      </w:r>
      <w:r>
        <w:rPr>
          <w:rStyle w:val="VerbatimChar"/>
        </w:rPr>
        <w:t xml:space="preserve">## p_co_2 0.00118   0      0      0      0      0      0      0</w:t>
      </w:r>
      <w:r>
        <w:br/>
      </w:r>
      <w:r>
        <w:rPr>
          <w:rStyle w:val="VerbatimChar"/>
        </w:rPr>
        <w:t xml:space="preserve">## p_co_3 0.00075   0      0      0      0      0      0      0</w:t>
      </w:r>
      <w:r>
        <w:br/>
      </w:r>
      <w:r>
        <w:rPr>
          <w:rStyle w:val="VerbatimChar"/>
        </w:rPr>
        <w:t xml:space="preserve">## p_co_4 0.00048   0      0      0      0      0      0      0</w:t>
      </w:r>
      <w:r>
        <w:br/>
      </w:r>
      <w:r>
        <w:rPr>
          <w:rStyle w:val="VerbatimChar"/>
        </w:rPr>
        <w:t xml:space="preserve">## p_co_5 0.00003   0      0      0      0      0      0      0</w:t>
      </w:r>
      <w:r>
        <w:br/>
      </w:r>
      <w:r>
        <w:rPr>
          <w:rStyle w:val="VerbatimChar"/>
        </w:rPr>
        <w:t xml:space="preserve">## p_co_6 0.00001   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0.99662   0      0      0      0      0      0      0</w:t>
      </w:r>
      <w:r>
        <w:br/>
      </w:r>
      <w:r>
        <w:rPr>
          <w:rStyle w:val="VerbatimChar"/>
        </w:rPr>
        <w:t xml:space="preserve">## s_b    0.00000   1      0      0      0      0      0      0</w:t>
      </w:r>
      <w:r>
        <w:br/>
      </w:r>
      <w:r>
        <w:rPr>
          <w:rStyle w:val="VerbatimChar"/>
        </w:rPr>
        <w:t xml:space="preserve">## p_co_1 0.00069   0      0      0      0      0      0      0</w:t>
      </w:r>
      <w:r>
        <w:br/>
      </w:r>
      <w:r>
        <w:rPr>
          <w:rStyle w:val="VerbatimChar"/>
        </w:rPr>
        <w:t xml:space="preserve">## p_co_2 0.00122   0      0      0      0      0      0      0</w:t>
      </w:r>
      <w:r>
        <w:br/>
      </w:r>
      <w:r>
        <w:rPr>
          <w:rStyle w:val="VerbatimChar"/>
        </w:rPr>
        <w:t xml:space="preserve">## p_co_3 0.00080   0      0      0      0      0      0      0</w:t>
      </w:r>
      <w:r>
        <w:br/>
      </w:r>
      <w:r>
        <w:rPr>
          <w:rStyle w:val="VerbatimChar"/>
        </w:rPr>
        <w:t xml:space="preserve">## p_co_4 0.00054   0      0      0      0      0      0      0</w:t>
      </w:r>
      <w:r>
        <w:br/>
      </w:r>
      <w:r>
        <w:rPr>
          <w:rStyle w:val="VerbatimChar"/>
        </w:rPr>
        <w:t xml:space="preserve">## p_co_5 0.00010   0      0      0      0      0      0      0</w:t>
      </w:r>
      <w:r>
        <w:br/>
      </w:r>
      <w:r>
        <w:rPr>
          <w:rStyle w:val="VerbatimChar"/>
        </w:rPr>
        <w:t xml:space="preserve">## p_co_6 0.00003   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0.99906   0      0      0      0      0      0      0</w:t>
      </w:r>
      <w:r>
        <w:br/>
      </w:r>
      <w:r>
        <w:rPr>
          <w:rStyle w:val="VerbatimChar"/>
        </w:rPr>
        <w:t xml:space="preserve">## s_b    0.00000   1      0      0      0      0      0      0</w:t>
      </w:r>
      <w:r>
        <w:br/>
      </w:r>
      <w:r>
        <w:rPr>
          <w:rStyle w:val="VerbatimChar"/>
        </w:rPr>
        <w:t xml:space="preserve">## p_co_1 0.00013   0      0      0      0      0      0      0</w:t>
      </w:r>
      <w:r>
        <w:br/>
      </w:r>
      <w:r>
        <w:rPr>
          <w:rStyle w:val="VerbatimChar"/>
        </w:rPr>
        <w:t xml:space="preserve">## p_co_2 0.00037   0      0      0      0      0      0      0</w:t>
      </w:r>
      <w:r>
        <w:br/>
      </w:r>
      <w:r>
        <w:rPr>
          <w:rStyle w:val="VerbatimChar"/>
        </w:rPr>
        <w:t xml:space="preserve">## p_co_3 0.00025   0      0      0      0      0      0      0</w:t>
      </w:r>
      <w:r>
        <w:br/>
      </w:r>
      <w:r>
        <w:rPr>
          <w:rStyle w:val="VerbatimChar"/>
        </w:rPr>
        <w:t xml:space="preserve">## p_co_4 0.00014   0      0      0      0      0      0      0</w:t>
      </w:r>
      <w:r>
        <w:br/>
      </w:r>
      <w:r>
        <w:rPr>
          <w:rStyle w:val="VerbatimChar"/>
        </w:rPr>
        <w:t xml:space="preserve">## p_co_5 0.00005   0      0      0      0      0      0      0</w:t>
      </w:r>
      <w:r>
        <w:br/>
      </w:r>
      <w:r>
        <w:rPr>
          <w:rStyle w:val="VerbatimChar"/>
        </w:rPr>
        <w:t xml:space="preserve">## p_co_6 0.00000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0.99904   0      0      0      0      0      0      0</w:t>
      </w:r>
      <w:r>
        <w:br/>
      </w:r>
      <w:r>
        <w:rPr>
          <w:rStyle w:val="VerbatimChar"/>
        </w:rPr>
        <w:t xml:space="preserve">## s_b    0.00000   1      0      0      0      0      0      0</w:t>
      </w:r>
      <w:r>
        <w:br/>
      </w:r>
      <w:r>
        <w:rPr>
          <w:rStyle w:val="VerbatimChar"/>
        </w:rPr>
        <w:t xml:space="preserve">## p_co_1 0.00014   0      0      0      0      0      0      0</w:t>
      </w:r>
      <w:r>
        <w:br/>
      </w:r>
      <w:r>
        <w:rPr>
          <w:rStyle w:val="VerbatimChar"/>
        </w:rPr>
        <w:t xml:space="preserve">## p_co_2 0.00034   0      0      0      0      0      0      0</w:t>
      </w:r>
      <w:r>
        <w:br/>
      </w:r>
      <w:r>
        <w:rPr>
          <w:rStyle w:val="VerbatimChar"/>
        </w:rPr>
        <w:t xml:space="preserve">## p_co_3 0.00024   0      0      0      0      0      0      0</w:t>
      </w:r>
      <w:r>
        <w:br/>
      </w:r>
      <w:r>
        <w:rPr>
          <w:rStyle w:val="VerbatimChar"/>
        </w:rPr>
        <w:t xml:space="preserve">## p_co_4 0.00015   0      0      0      0      0      0      0</w:t>
      </w:r>
      <w:r>
        <w:br/>
      </w:r>
      <w:r>
        <w:rPr>
          <w:rStyle w:val="VerbatimChar"/>
        </w:rPr>
        <w:t xml:space="preserve">## p_co_5 0.00007   0      0      0      0      0      0      0</w:t>
      </w:r>
      <w:r>
        <w:br/>
      </w:r>
      <w:r>
        <w:rPr>
          <w:rStyle w:val="VerbatimChar"/>
        </w:rPr>
        <w:t xml:space="preserve">## p_co_6 0.00003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0.93632   0      0      0      0      0      0      0</w:t>
      </w:r>
      <w:r>
        <w:br/>
      </w:r>
      <w:r>
        <w:rPr>
          <w:rStyle w:val="VerbatimChar"/>
        </w:rPr>
        <w:t xml:space="preserve">## s_b    0.00000   1      0      0      0      0      0      0</w:t>
      </w:r>
      <w:r>
        <w:br/>
      </w:r>
      <w:r>
        <w:rPr>
          <w:rStyle w:val="VerbatimChar"/>
        </w:rPr>
        <w:t xml:space="preserve">## p_co_1 0.04595   0      0      0      0      0      0      0</w:t>
      </w:r>
      <w:r>
        <w:br/>
      </w:r>
      <w:r>
        <w:rPr>
          <w:rStyle w:val="VerbatimChar"/>
        </w:rPr>
        <w:t xml:space="preserve">## p_co_2 0.01162   0      0      0      0      0      0      0</w:t>
      </w:r>
      <w:r>
        <w:br/>
      </w:r>
      <w:r>
        <w:rPr>
          <w:rStyle w:val="VerbatimChar"/>
        </w:rPr>
        <w:t xml:space="preserve">## p_co_3 0.00331   0      0      0      0      0      0      0</w:t>
      </w:r>
      <w:r>
        <w:br/>
      </w:r>
      <w:r>
        <w:rPr>
          <w:rStyle w:val="VerbatimChar"/>
        </w:rPr>
        <w:t xml:space="preserve">## p_co_4 0.00124   0      0      0      0      0      0      0</w:t>
      </w:r>
      <w:r>
        <w:br/>
      </w:r>
      <w:r>
        <w:rPr>
          <w:rStyle w:val="VerbatimChar"/>
        </w:rPr>
        <w:t xml:space="preserve">## p_co_5 0.00068   0      0      0      0      0      0      0</w:t>
      </w:r>
      <w:r>
        <w:br/>
      </w:r>
      <w:r>
        <w:rPr>
          <w:rStyle w:val="VerbatimChar"/>
        </w:rPr>
        <w:t xml:space="preserve">## p_co_6 0.00089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0.97522   0      0      0      0      0      0      0</w:t>
      </w:r>
      <w:r>
        <w:br/>
      </w:r>
      <w:r>
        <w:rPr>
          <w:rStyle w:val="VerbatimChar"/>
        </w:rPr>
        <w:t xml:space="preserve">## s_b    0.00000   1      0      0      0      0      0      0</w:t>
      </w:r>
      <w:r>
        <w:br/>
      </w:r>
      <w:r>
        <w:rPr>
          <w:rStyle w:val="VerbatimChar"/>
        </w:rPr>
        <w:t xml:space="preserve">## p_co_1 0.01917   0      0      0      0      0      0      0</w:t>
      </w:r>
      <w:r>
        <w:br/>
      </w:r>
      <w:r>
        <w:rPr>
          <w:rStyle w:val="VerbatimChar"/>
        </w:rPr>
        <w:t xml:space="preserve">## p_co_2 0.00452   0      0      0      0      0      0      0</w:t>
      </w:r>
      <w:r>
        <w:br/>
      </w:r>
      <w:r>
        <w:rPr>
          <w:rStyle w:val="VerbatimChar"/>
        </w:rPr>
        <w:t xml:space="preserve">## p_co_3 0.00097   0      0      0      0      0      0      0</w:t>
      </w:r>
      <w:r>
        <w:br/>
      </w:r>
      <w:r>
        <w:rPr>
          <w:rStyle w:val="VerbatimChar"/>
        </w:rPr>
        <w:t xml:space="preserve">## p_co_4 0.00009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0.96263   0      0      0      0      0      0      0</w:t>
      </w:r>
      <w:r>
        <w:br/>
      </w:r>
      <w:r>
        <w:rPr>
          <w:rStyle w:val="VerbatimChar"/>
        </w:rPr>
        <w:t xml:space="preserve">## s_b    0.00000   1      0      0      0      0      0      0</w:t>
      </w:r>
      <w:r>
        <w:br/>
      </w:r>
      <w:r>
        <w:rPr>
          <w:rStyle w:val="VerbatimChar"/>
        </w:rPr>
        <w:t xml:space="preserve">## p_co_1 0.02918   0      0      0      0      0      0      0</w:t>
      </w:r>
      <w:r>
        <w:br/>
      </w:r>
      <w:r>
        <w:rPr>
          <w:rStyle w:val="VerbatimChar"/>
        </w:rPr>
        <w:t xml:space="preserve">## p_co_2 0.00582   0      0      0      0      0      0      0</w:t>
      </w:r>
      <w:r>
        <w:br/>
      </w:r>
      <w:r>
        <w:rPr>
          <w:rStyle w:val="VerbatimChar"/>
        </w:rPr>
        <w:t xml:space="preserve">## p_co_3 0.00145   0      0      0      0      0      0      0</w:t>
      </w:r>
      <w:r>
        <w:br/>
      </w:r>
      <w:r>
        <w:rPr>
          <w:rStyle w:val="VerbatimChar"/>
        </w:rPr>
        <w:t xml:space="preserve">## p_co_4 0.00012   0      0      0      0      0      0      0</w:t>
      </w:r>
      <w:r>
        <w:br/>
      </w:r>
      <w:r>
        <w:rPr>
          <w:rStyle w:val="VerbatimChar"/>
        </w:rPr>
        <w:t xml:space="preserve">## p_co_5 0.00025   0      0      0      0      0      0      0</w:t>
      </w:r>
      <w:r>
        <w:br/>
      </w:r>
      <w:r>
        <w:rPr>
          <w:rStyle w:val="VerbatimChar"/>
        </w:rPr>
        <w:t xml:space="preserve">## p_co_6 0.00055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0.97661   0      0      0      0      0      0      0</w:t>
      </w:r>
      <w:r>
        <w:br/>
      </w:r>
      <w:r>
        <w:rPr>
          <w:rStyle w:val="VerbatimChar"/>
        </w:rPr>
        <w:t xml:space="preserve">## s_b    0.00000   1      0      0      0      0      0      0</w:t>
      </w:r>
      <w:r>
        <w:br/>
      </w:r>
      <w:r>
        <w:rPr>
          <w:rStyle w:val="VerbatimChar"/>
        </w:rPr>
        <w:t xml:space="preserve">## p_co_1 0.01854   0      0      0      0      0      0      0</w:t>
      </w:r>
      <w:r>
        <w:br/>
      </w:r>
      <w:r>
        <w:rPr>
          <w:rStyle w:val="VerbatimChar"/>
        </w:rPr>
        <w:t xml:space="preserve">## p_co_2 0.00364   0      0      0      0      0      0      0</w:t>
      </w:r>
      <w:r>
        <w:br/>
      </w:r>
      <w:r>
        <w:rPr>
          <w:rStyle w:val="VerbatimChar"/>
        </w:rPr>
        <w:t xml:space="preserve">## p_co_3 0.00085   0      0      0      0      0      0      0</w:t>
      </w:r>
      <w:r>
        <w:br/>
      </w:r>
      <w:r>
        <w:rPr>
          <w:rStyle w:val="VerbatimChar"/>
        </w:rPr>
        <w:t xml:space="preserve">## p_co_4 0.00000   0      0      0      0      0      0      0</w:t>
      </w:r>
      <w:r>
        <w:br/>
      </w:r>
      <w:r>
        <w:rPr>
          <w:rStyle w:val="VerbatimChar"/>
        </w:rPr>
        <w:t xml:space="preserve">## p_co_5 0.00009   0      0      0      0      0      0      0</w:t>
      </w:r>
      <w:r>
        <w:br/>
      </w:r>
      <w:r>
        <w:rPr>
          <w:rStyle w:val="VerbatimChar"/>
        </w:rPr>
        <w:t xml:space="preserve">## p_co_6 0.00028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0.99896   0      0      0      0      0      0      0</w:t>
      </w:r>
      <w:r>
        <w:br/>
      </w:r>
      <w:r>
        <w:rPr>
          <w:rStyle w:val="VerbatimChar"/>
        </w:rPr>
        <w:t xml:space="preserve">## s_b    0.00000   1      0      0      0      0      0      0</w:t>
      </w:r>
      <w:r>
        <w:br/>
      </w:r>
      <w:r>
        <w:rPr>
          <w:rStyle w:val="VerbatimChar"/>
        </w:rPr>
        <w:t xml:space="preserve">## p_co_1 0.00079   0      0      0      0      0      0      0</w:t>
      </w:r>
      <w:r>
        <w:br/>
      </w:r>
      <w:r>
        <w:rPr>
          <w:rStyle w:val="VerbatimChar"/>
        </w:rPr>
        <w:t xml:space="preserve">## p_co_2 0.00016   0      0      0      0      0      0      0</w:t>
      </w:r>
      <w:r>
        <w:br/>
      </w:r>
      <w:r>
        <w:rPr>
          <w:rStyle w:val="VerbatimChar"/>
        </w:rPr>
        <w:t xml:space="preserve">## p_co_3 0.00000   0      0      0      0      0      0      0</w:t>
      </w:r>
      <w:r>
        <w:br/>
      </w:r>
      <w:r>
        <w:rPr>
          <w:rStyle w:val="VerbatimChar"/>
        </w:rPr>
        <w:t xml:space="preserve">## p_co_4 0.00003   0      0      0      0      0      0      0</w:t>
      </w:r>
      <w:r>
        <w:br/>
      </w:r>
      <w:r>
        <w:rPr>
          <w:rStyle w:val="VerbatimChar"/>
        </w:rPr>
        <w:t xml:space="preserve">## p_co_5 0.00003   0      0      0      0      0      0      0</w:t>
      </w:r>
      <w:r>
        <w:br/>
      </w:r>
      <w:r>
        <w:rPr>
          <w:rStyle w:val="VerbatimChar"/>
        </w:rPr>
        <w:t xml:space="preserve">## p_co_6 0.00003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0.99893   0      0      0      0      0      0      0</w:t>
      </w:r>
      <w:r>
        <w:br/>
      </w:r>
      <w:r>
        <w:rPr>
          <w:rStyle w:val="VerbatimChar"/>
        </w:rPr>
        <w:t xml:space="preserve">## s_b    0.00000   1      0      0      0      0      0      0</w:t>
      </w:r>
      <w:r>
        <w:br/>
      </w:r>
      <w:r>
        <w:rPr>
          <w:rStyle w:val="VerbatimChar"/>
        </w:rPr>
        <w:t xml:space="preserve">## p_co_1 0.00063   0      0      0      0      0      0      0</w:t>
      </w:r>
      <w:r>
        <w:br/>
      </w:r>
      <w:r>
        <w:rPr>
          <w:rStyle w:val="VerbatimChar"/>
        </w:rPr>
        <w:t xml:space="preserve">## p_co_2 0.00020   0      0      0      0      0      0      0</w:t>
      </w:r>
      <w:r>
        <w:br/>
      </w:r>
      <w:r>
        <w:rPr>
          <w:rStyle w:val="VerbatimChar"/>
        </w:rPr>
        <w:t xml:space="preserve">## p_co_3 0.00009   0      0      0      0      0      0      0</w:t>
      </w:r>
      <w:r>
        <w:br/>
      </w:r>
      <w:r>
        <w:rPr>
          <w:rStyle w:val="VerbatimChar"/>
        </w:rPr>
        <w:t xml:space="preserve">## p_co_4 0.00005   0      0      0      0      0      0      0</w:t>
      </w:r>
      <w:r>
        <w:br/>
      </w:r>
      <w:r>
        <w:rPr>
          <w:rStyle w:val="VerbatimChar"/>
        </w:rPr>
        <w:t xml:space="preserve">## p_co_5 0.00005   0      0      0      0      0      0      0</w:t>
      </w:r>
      <w:r>
        <w:br/>
      </w:r>
      <w:r>
        <w:rPr>
          <w:rStyle w:val="VerbatimChar"/>
        </w:rPr>
        <w:t xml:space="preserve">## p_co_6 0.00006   0      0      0      0      0      0      0</w:t>
      </w:r>
    </w:p>
    <w:bookmarkEnd w:id="95"/>
    <w:bookmarkStart w:id="96" w:name="plant-fecundity"/>
    <w:p>
      <w:pPr>
        <w:pStyle w:val="Heading5"/>
      </w:pPr>
      <w:r>
        <w:t xml:space="preserve">Plant fecundity</w:t>
      </w:r>
    </w:p>
    <w:p>
      <w:pPr>
        <w:pStyle w:val="FirstParagraph"/>
      </w:pPr>
      <w:r>
        <w:t xml:space="preserve">The plant fecundity matrix (</w:t>
      </w:r>
      <m:oMath>
        <m:sSub>
          <m:e>
            <m:r>
              <m:t>B</m:t>
            </m:r>
          </m:e>
          <m:sub>
            <m:r>
              <m:t>f</m:t>
            </m:r>
          </m:sub>
        </m:sSub>
      </m:oMath>
      <w:r>
        <w:t xml:space="preserve">) had the</w:t>
      </w:r>
      <w:r>
        <w:t xml:space="preserve"> </w:t>
      </w:r>
      <m:oMath>
        <m:sSub>
          <m:e>
            <m:r>
              <m:t>M</m:t>
            </m:r>
          </m:e>
          <m:sub>
            <m:r>
              <m:t>s</m:t>
            </m:r>
          </m:sub>
        </m:sSub>
      </m:oMath>
      <w:r>
        <w:t xml:space="preserve"> </w:t>
      </w:r>
      <w:r>
        <w:t xml:space="preserve">block’s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block’s diagonal are placeholders to carry the product from the previous matrices over.</w:t>
      </w:r>
    </w:p>
    <w:p>
      <w:pPr>
        <w:pStyle w:val="BodyText"/>
      </w:pPr>
      <m:oMathPara>
        <m:oMathParaPr>
          <m:jc m:val="center"/>
        </m:oMathParaPr>
        <m:oMath>
          <m:sSub>
            <m:e>
              <m:r>
                <m:rPr>
                  <m:sty m:val="b"/>
                </m:rPr>
                <m:t>B</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f</m:t>
                        </m:r>
                      </m:e>
                      <m:sub>
                        <m:r>
                          <m:t>1</m:t>
                        </m:r>
                      </m:sub>
                    </m:sSub>
                  </m:e>
                  <m:e>
                    <m:sSub>
                      <m:e>
                        <m:r>
                          <m:t>f</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f</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Nguyen and Liebman (2022a)</w:t>
      </w:r>
      <w:r>
        <w:t xml:space="preserve">. In scenario 2, the plants were partitioned into six size-based bins and their fecundity was summarized as</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positions in the</w:t>
      </w:r>
      <w:r>
        <w:t xml:space="preserve"> </w:t>
      </w:r>
      <m:oMath>
        <m:sSub>
          <m:e>
            <m:r>
              <m:t>B</m:t>
            </m:r>
          </m:e>
          <m:sub>
            <m:r>
              <m:t>f</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p>
      <w:pPr>
        <w:pStyle w:val="BodyText"/>
      </w:pPr>
      <w:r>
        <w:t xml:space="preserve">Scenario 1: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11.8   5.36    3.4   2.13    1.3   0.64</w:t>
      </w:r>
      <w:r>
        <w:br/>
      </w:r>
      <w:r>
        <w:rPr>
          <w:rStyle w:val="VerbatimChar"/>
        </w:rPr>
        <w:t xml:space="preserve">## s_b      0   1    0.0   0.00    0.0   0.00    0.0   0.00</w:t>
      </w:r>
      <w:r>
        <w:br/>
      </w:r>
      <w:r>
        <w:rPr>
          <w:rStyle w:val="VerbatimChar"/>
        </w:rPr>
        <w:t xml:space="preserve">## p_co_1   0   0    0.0   0.00    0.0   0.00    0.0   0.00</w:t>
      </w:r>
      <w:r>
        <w:br/>
      </w:r>
      <w:r>
        <w:rPr>
          <w:rStyle w:val="VerbatimChar"/>
        </w:rPr>
        <w:t xml:space="preserve">## p_co_2   0   0    0.0   0.00    0.0   0.00    0.0   0.00</w:t>
      </w:r>
      <w:r>
        <w:br/>
      </w:r>
      <w:r>
        <w:rPr>
          <w:rStyle w:val="VerbatimChar"/>
        </w:rPr>
        <w:t xml:space="preserve">## p_co_3   0   0    0.0   0.00    0.0   0.00    0.0   0.00</w:t>
      </w:r>
      <w:r>
        <w:br/>
      </w:r>
      <w:r>
        <w:rPr>
          <w:rStyle w:val="VerbatimChar"/>
        </w:rPr>
        <w:t xml:space="preserve">## p_co_4   0   0    0.0   0.00    0.0   0.00    0.0   0.00</w:t>
      </w:r>
      <w:r>
        <w:br/>
      </w:r>
      <w:r>
        <w:rPr>
          <w:rStyle w:val="VerbatimChar"/>
        </w:rPr>
        <w:t xml:space="preserve">## p_co_5   0   0    0.0   0.00    0.0   0.00    0.0   0.00</w:t>
      </w:r>
      <w:r>
        <w:br/>
      </w:r>
      <w:r>
        <w:rPr>
          <w:rStyle w:val="VerbatimChar"/>
        </w:rPr>
        <w:t xml:space="preserve">## p_co_6   0   0    0.0   0.00    0.0   0.00    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6.22   3.21   2.26   1.65    1.3   0.88</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3518.59 615.17 231.49  99.53  29.99   7.69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0 242.93  22.54  12.03   6.81    3.9      2</w:t>
      </w:r>
      <w:r>
        <w:br/>
      </w:r>
      <w:r>
        <w:rPr>
          <w:rStyle w:val="VerbatimChar"/>
        </w:rPr>
        <w:t xml:space="preserve">## s_b      0   1   0.00   0.00   0.00   0.00    0.0      0</w:t>
      </w:r>
      <w:r>
        <w:br/>
      </w:r>
      <w:r>
        <w:rPr>
          <w:rStyle w:val="VerbatimChar"/>
        </w:rPr>
        <w:t xml:space="preserve">## p_co_1   0   0   0.00   0.00   0.00   0.00    0.0      0</w:t>
      </w:r>
      <w:r>
        <w:br/>
      </w:r>
      <w:r>
        <w:rPr>
          <w:rStyle w:val="VerbatimChar"/>
        </w:rPr>
        <w:t xml:space="preserve">## p_co_2   0   0   0.00   0.00   0.00   0.00    0.0      0</w:t>
      </w:r>
      <w:r>
        <w:br/>
      </w:r>
      <w:r>
        <w:rPr>
          <w:rStyle w:val="VerbatimChar"/>
        </w:rPr>
        <w:t xml:space="preserve">## p_co_3   0   0   0.00   0.00   0.00   0.00    0.0      0</w:t>
      </w:r>
      <w:r>
        <w:br/>
      </w:r>
      <w:r>
        <w:rPr>
          <w:rStyle w:val="VerbatimChar"/>
        </w:rPr>
        <w:t xml:space="preserve">## p_co_4   0   0   0.00   0.00   0.00   0.00    0.0      0</w:t>
      </w:r>
      <w:r>
        <w:br/>
      </w:r>
      <w:r>
        <w:rPr>
          <w:rStyle w:val="VerbatimChar"/>
        </w:rPr>
        <w:t xml:space="preserve">## p_co_5   0   0   0.00   0.00   0.00   0.00    0.0      0</w:t>
      </w:r>
      <w:r>
        <w:br/>
      </w:r>
      <w:r>
        <w:rPr>
          <w:rStyle w:val="VerbatimChar"/>
        </w:rPr>
        <w:t xml:space="preserve">## p_co_6   0   0   0.00   0.00   0.00   0.00    0.0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0 685.16 120.67  37.61  19.81   7.85   2.39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0 105.88  48.51  31.41  24.87  20.11  15.01</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0 980.71 643.78  70.33  48.66   6.55   3.09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1431.88 969.28 227.07 123.04  38.59   0.98</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0 385.14 110.44  57.49  29.61   14.7   3.94</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0 334.33 202.25 147.01 116.24  86.41  52.36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0 606.39 163.51  81.36  47.65  23.06   8.76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0 963.95 223.23 120.21  69.43  29.84  13.56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1.32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6.99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8.5      0      0      0      0      0</w:t>
      </w:r>
      <w:r>
        <w:br/>
      </w:r>
      <w:r>
        <w:rPr>
          <w:rStyle w:val="VerbatimChar"/>
        </w:rPr>
        <w:t xml:space="preserve">## s_b      0   1    0.0      0      0      0      0      0</w:t>
      </w:r>
      <w:r>
        <w:br/>
      </w:r>
      <w:r>
        <w:rPr>
          <w:rStyle w:val="VerbatimChar"/>
        </w:rPr>
        <w:t xml:space="preserve">## p_co_1   0   0    0.0      0      0      0      0      0</w:t>
      </w:r>
      <w:r>
        <w:br/>
      </w:r>
      <w:r>
        <w:rPr>
          <w:rStyle w:val="VerbatimChar"/>
        </w:rPr>
        <w:t xml:space="preserve">## p_co_2   0   0    0.0      0      0      0      0      0</w:t>
      </w:r>
      <w:r>
        <w:br/>
      </w:r>
      <w:r>
        <w:rPr>
          <w:rStyle w:val="VerbatimChar"/>
        </w:rPr>
        <w:t xml:space="preserve">## p_co_3   0   0    0.0      0      0      0      0      0</w:t>
      </w:r>
      <w:r>
        <w:br/>
      </w:r>
      <w:r>
        <w:rPr>
          <w:rStyle w:val="VerbatimChar"/>
        </w:rPr>
        <w:t xml:space="preserve">## p_co_4   0   0    0.0      0      0      0      0      0</w:t>
      </w:r>
      <w:r>
        <w:br/>
      </w:r>
      <w:r>
        <w:rPr>
          <w:rStyle w:val="VerbatimChar"/>
        </w:rPr>
        <w:t xml:space="preserve">## p_co_5   0   0    0.0      0      0      0      0      0</w:t>
      </w:r>
      <w:r>
        <w:br/>
      </w:r>
      <w:r>
        <w:rPr>
          <w:rStyle w:val="VerbatimChar"/>
        </w:rPr>
        <w:t xml:space="preserve">## p_co_6   0   0    0.0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0.06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35.45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30.96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p>
    <w:p>
      <w:pPr>
        <w:pStyle w:val="FirstParagraph"/>
      </w:pPr>
      <w:r>
        <w:t xml:space="preserve">Scenario 2: 2018</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0 460.33  14.67      1  13.25   1.25   4.25</w:t>
      </w:r>
      <w:r>
        <w:br/>
      </w:r>
      <w:r>
        <w:rPr>
          <w:rStyle w:val="VerbatimChar"/>
        </w:rPr>
        <w:t xml:space="preserve">## s_b      0   1   0.00   0.00      0   0.00   0.00   0.00</w:t>
      </w:r>
      <w:r>
        <w:br/>
      </w:r>
      <w:r>
        <w:rPr>
          <w:rStyle w:val="VerbatimChar"/>
        </w:rPr>
        <w:t xml:space="preserve">## p_co_1   0   0   0.00   0.00      0   0.00   0.00   0.00</w:t>
      </w:r>
      <w:r>
        <w:br/>
      </w:r>
      <w:r>
        <w:rPr>
          <w:rStyle w:val="VerbatimChar"/>
        </w:rPr>
        <w:t xml:space="preserve">## p_co_2   0   0   0.00   0.00      0   0.00   0.00   0.00</w:t>
      </w:r>
      <w:r>
        <w:br/>
      </w:r>
      <w:r>
        <w:rPr>
          <w:rStyle w:val="VerbatimChar"/>
        </w:rPr>
        <w:t xml:space="preserve">## p_co_3   0   0   0.00   0.00      0   0.00   0.00   0.00</w:t>
      </w:r>
      <w:r>
        <w:br/>
      </w:r>
      <w:r>
        <w:rPr>
          <w:rStyle w:val="VerbatimChar"/>
        </w:rPr>
        <w:t xml:space="preserve">## p_co_4   0   0   0.00   0.00      0   0.00   0.00   0.00</w:t>
      </w:r>
      <w:r>
        <w:br/>
      </w:r>
      <w:r>
        <w:rPr>
          <w:rStyle w:val="VerbatimChar"/>
        </w:rPr>
        <w:t xml:space="preserve">## p_co_5   0   0   0.00   0.00      0   0.00   0.00   0.00</w:t>
      </w:r>
      <w:r>
        <w:br/>
      </w:r>
      <w:r>
        <w:rPr>
          <w:rStyle w:val="VerbatimChar"/>
        </w:rPr>
        <w:t xml:space="preserve">## p_co_6   0   0   0.00   0.00      0   0.00   0.00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10.67   8.25   9.25    2.5    0.5   1.25</w:t>
      </w:r>
      <w:r>
        <w:br/>
      </w:r>
      <w:r>
        <w:rPr>
          <w:rStyle w:val="VerbatimChar"/>
        </w:rPr>
        <w:t xml:space="preserve">## s_b      0   1   0.00   0.00   0.00    0.0    0.0   0.00</w:t>
      </w:r>
      <w:r>
        <w:br/>
      </w:r>
      <w:r>
        <w:rPr>
          <w:rStyle w:val="VerbatimChar"/>
        </w:rPr>
        <w:t xml:space="preserve">## p_co_1   0   0   0.00   0.00   0.00    0.0    0.0   0.00</w:t>
      </w:r>
      <w:r>
        <w:br/>
      </w:r>
      <w:r>
        <w:rPr>
          <w:rStyle w:val="VerbatimChar"/>
        </w:rPr>
        <w:t xml:space="preserve">## p_co_2   0   0   0.00   0.00   0.00    0.0    0.0   0.00</w:t>
      </w:r>
      <w:r>
        <w:br/>
      </w:r>
      <w:r>
        <w:rPr>
          <w:rStyle w:val="VerbatimChar"/>
        </w:rPr>
        <w:t xml:space="preserve">## p_co_3   0   0   0.00   0.00   0.00    0.0    0.0   0.00</w:t>
      </w:r>
      <w:r>
        <w:br/>
      </w:r>
      <w:r>
        <w:rPr>
          <w:rStyle w:val="VerbatimChar"/>
        </w:rPr>
        <w:t xml:space="preserve">## p_co_4   0   0   0.00   0.00   0.00    0.0    0.0   0.00</w:t>
      </w:r>
      <w:r>
        <w:br/>
      </w:r>
      <w:r>
        <w:rPr>
          <w:rStyle w:val="VerbatimChar"/>
        </w:rPr>
        <w:t xml:space="preserve">## p_co_5   0   0   0.00   0.00   0.00    0.0    0.0   0.00</w:t>
      </w:r>
      <w:r>
        <w:br/>
      </w:r>
      <w:r>
        <w:rPr>
          <w:rStyle w:val="VerbatimChar"/>
        </w:rPr>
        <w:t xml:space="preserve">## p_co_6   0   0   0.00   0.00   0.00    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36077.33 15592.33 6958.8 6298.6 2192.13    272</w:t>
      </w:r>
      <w:r>
        <w:br/>
      </w:r>
      <w:r>
        <w:rPr>
          <w:rStyle w:val="VerbatimChar"/>
        </w:rPr>
        <w:t xml:space="preserve">## s_b      0   1     0.00     0.00    0.0    0.0    0.00      0</w:t>
      </w:r>
      <w:r>
        <w:br/>
      </w:r>
      <w:r>
        <w:rPr>
          <w:rStyle w:val="VerbatimChar"/>
        </w:rPr>
        <w:t xml:space="preserve">## p_co_1   0   0     0.00     0.00    0.0    0.0    0.00      0</w:t>
      </w:r>
      <w:r>
        <w:br/>
      </w:r>
      <w:r>
        <w:rPr>
          <w:rStyle w:val="VerbatimChar"/>
        </w:rPr>
        <w:t xml:space="preserve">## p_co_2   0   0     0.00     0.00    0.0    0.0    0.00      0</w:t>
      </w:r>
      <w:r>
        <w:br/>
      </w:r>
      <w:r>
        <w:rPr>
          <w:rStyle w:val="VerbatimChar"/>
        </w:rPr>
        <w:t xml:space="preserve">## p_co_3   0   0     0.00     0.00    0.0    0.0    0.00      0</w:t>
      </w:r>
      <w:r>
        <w:br/>
      </w:r>
      <w:r>
        <w:rPr>
          <w:rStyle w:val="VerbatimChar"/>
        </w:rPr>
        <w:t xml:space="preserve">## p_co_4   0   0     0.00     0.00    0.0    0.0    0.00      0</w:t>
      </w:r>
      <w:r>
        <w:br/>
      </w:r>
      <w:r>
        <w:rPr>
          <w:rStyle w:val="VerbatimChar"/>
        </w:rPr>
        <w:t xml:space="preserve">## p_co_5   0   0     0.00     0.00    0.0    0.0    0.00      0</w:t>
      </w:r>
      <w:r>
        <w:br/>
      </w:r>
      <w:r>
        <w:rPr>
          <w:rStyle w:val="VerbatimChar"/>
        </w:rPr>
        <w:t xml:space="preserve">## p_co_6   0   0     0.00     0.00    0.0    0.0    0.00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84140.39 3127.22 897.67 506.33 224.17  34.83</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21662.67 7965.78 3138.78 166.33 271.33  75.25</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0 292.33 517.33 207.25    144   35.5  51.25</w:t>
      </w:r>
      <w:r>
        <w:br/>
      </w:r>
      <w:r>
        <w:rPr>
          <w:rStyle w:val="VerbatimChar"/>
        </w:rPr>
        <w:t xml:space="preserve">## s_b      0   1   0.00   0.00   0.00      0    0.0   0.00</w:t>
      </w:r>
      <w:r>
        <w:br/>
      </w:r>
      <w:r>
        <w:rPr>
          <w:rStyle w:val="VerbatimChar"/>
        </w:rPr>
        <w:t xml:space="preserve">## p_co_1   0   0   0.00   0.00   0.00      0    0.0   0.00</w:t>
      </w:r>
      <w:r>
        <w:br/>
      </w:r>
      <w:r>
        <w:rPr>
          <w:rStyle w:val="VerbatimChar"/>
        </w:rPr>
        <w:t xml:space="preserve">## p_co_2   0   0   0.00   0.00   0.00      0    0.0   0.00</w:t>
      </w:r>
      <w:r>
        <w:br/>
      </w:r>
      <w:r>
        <w:rPr>
          <w:rStyle w:val="VerbatimChar"/>
        </w:rPr>
        <w:t xml:space="preserve">## p_co_3   0   0   0.00   0.00   0.00      0    0.0   0.00</w:t>
      </w:r>
      <w:r>
        <w:br/>
      </w:r>
      <w:r>
        <w:rPr>
          <w:rStyle w:val="VerbatimChar"/>
        </w:rPr>
        <w:t xml:space="preserve">## p_co_4   0   0   0.00   0.00   0.00      0    0.0   0.00</w:t>
      </w:r>
      <w:r>
        <w:br/>
      </w:r>
      <w:r>
        <w:rPr>
          <w:rStyle w:val="VerbatimChar"/>
        </w:rPr>
        <w:t xml:space="preserve">## p_co_5   0   0   0.00   0.00   0.00      0    0.0   0.00</w:t>
      </w:r>
      <w:r>
        <w:br/>
      </w:r>
      <w:r>
        <w:rPr>
          <w:rStyle w:val="VerbatimChar"/>
        </w:rPr>
        <w:t xml:space="preserve">## p_co_6   0   0   0.00   0.00   0.00      0    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93672.33   7124 18026.33    722 500.67 272.67</w:t>
      </w:r>
      <w:r>
        <w:br/>
      </w:r>
      <w:r>
        <w:rPr>
          <w:rStyle w:val="VerbatimChar"/>
        </w:rPr>
        <w:t xml:space="preserve">## s_b      0   1     0.00      0     0.00      0   0.00   0.00</w:t>
      </w:r>
      <w:r>
        <w:br/>
      </w:r>
      <w:r>
        <w:rPr>
          <w:rStyle w:val="VerbatimChar"/>
        </w:rPr>
        <w:t xml:space="preserve">## p_co_1   0   0     0.00      0     0.00      0   0.00   0.00</w:t>
      </w:r>
      <w:r>
        <w:br/>
      </w:r>
      <w:r>
        <w:rPr>
          <w:rStyle w:val="VerbatimChar"/>
        </w:rPr>
        <w:t xml:space="preserve">## p_co_2   0   0     0.00      0     0.00      0   0.00   0.00</w:t>
      </w:r>
      <w:r>
        <w:br/>
      </w:r>
      <w:r>
        <w:rPr>
          <w:rStyle w:val="VerbatimChar"/>
        </w:rPr>
        <w:t xml:space="preserve">## p_co_3   0   0     0.00      0     0.00      0   0.00   0.00</w:t>
      </w:r>
      <w:r>
        <w:br/>
      </w:r>
      <w:r>
        <w:rPr>
          <w:rStyle w:val="VerbatimChar"/>
        </w:rPr>
        <w:t xml:space="preserve">## p_co_4   0   0     0.00      0     0.00      0   0.00   0.00</w:t>
      </w:r>
      <w:r>
        <w:br/>
      </w:r>
      <w:r>
        <w:rPr>
          <w:rStyle w:val="VerbatimChar"/>
        </w:rPr>
        <w:t xml:space="preserve">## p_co_5   0   0     0.00      0     0.00      0   0.00   0.00</w:t>
      </w:r>
      <w:r>
        <w:br/>
      </w:r>
      <w:r>
        <w:rPr>
          <w:rStyle w:val="VerbatimChar"/>
        </w:rPr>
        <w:t xml:space="preserve">## p_co_6   0   0     0.00      0     0.00      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6139.56   2349  830.5 164.75  52.25  18.75</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3353.67 849.25 424.75    218 123.25   79.6</w:t>
      </w:r>
      <w:r>
        <w:br/>
      </w:r>
      <w:r>
        <w:rPr>
          <w:rStyle w:val="VerbatimChar"/>
        </w:rPr>
        <w:t xml:space="preserve">## s_b      0   1    0.00   0.00   0.00      0   0.00    0.0</w:t>
      </w:r>
      <w:r>
        <w:br/>
      </w:r>
      <w:r>
        <w:rPr>
          <w:rStyle w:val="VerbatimChar"/>
        </w:rPr>
        <w:t xml:space="preserve">## p_co_1   0   0    0.00   0.00   0.00      0   0.00    0.0</w:t>
      </w:r>
      <w:r>
        <w:br/>
      </w:r>
      <w:r>
        <w:rPr>
          <w:rStyle w:val="VerbatimChar"/>
        </w:rPr>
        <w:t xml:space="preserve">## p_co_2   0   0    0.00   0.00   0.00      0   0.00    0.0</w:t>
      </w:r>
      <w:r>
        <w:br/>
      </w:r>
      <w:r>
        <w:rPr>
          <w:rStyle w:val="VerbatimChar"/>
        </w:rPr>
        <w:t xml:space="preserve">## p_co_3   0   0    0.00   0.00   0.00      0   0.00    0.0</w:t>
      </w:r>
      <w:r>
        <w:br/>
      </w:r>
      <w:r>
        <w:rPr>
          <w:rStyle w:val="VerbatimChar"/>
        </w:rPr>
        <w:t xml:space="preserve">## p_co_4   0   0    0.00   0.00   0.00      0   0.00    0.0</w:t>
      </w:r>
      <w:r>
        <w:br/>
      </w:r>
      <w:r>
        <w:rPr>
          <w:rStyle w:val="VerbatimChar"/>
        </w:rPr>
        <w:t xml:space="preserve">## p_co_5   0   0    0.00   0.00   0.00      0   0.00    0.0</w:t>
      </w:r>
      <w:r>
        <w:br/>
      </w:r>
      <w:r>
        <w:rPr>
          <w:rStyle w:val="VerbatimChar"/>
        </w:rPr>
        <w:t xml:space="preserve">## p_co_6   0   0    0.00   0.00   0.00      0   0.00    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658  236.6  307.8  205.6  161.2    105</w:t>
      </w:r>
      <w:r>
        <w:br/>
      </w:r>
      <w:r>
        <w:rPr>
          <w:rStyle w:val="VerbatimChar"/>
        </w:rPr>
        <w:t xml:space="preserve">## s_b      0   1      0    0.0    0.0    0.0    0.0      0</w:t>
      </w:r>
      <w:r>
        <w:br/>
      </w:r>
      <w:r>
        <w:rPr>
          <w:rStyle w:val="VerbatimChar"/>
        </w:rPr>
        <w:t xml:space="preserve">## p_co_1   0   0      0    0.0    0.0    0.0    0.0      0</w:t>
      </w:r>
      <w:r>
        <w:br/>
      </w:r>
      <w:r>
        <w:rPr>
          <w:rStyle w:val="VerbatimChar"/>
        </w:rPr>
        <w:t xml:space="preserve">## p_co_2   0   0      0    0.0    0.0    0.0    0.0      0</w:t>
      </w:r>
      <w:r>
        <w:br/>
      </w:r>
      <w:r>
        <w:rPr>
          <w:rStyle w:val="VerbatimChar"/>
        </w:rPr>
        <w:t xml:space="preserve">## p_co_3   0   0      0    0.0    0.0    0.0    0.0      0</w:t>
      </w:r>
      <w:r>
        <w:br/>
      </w:r>
      <w:r>
        <w:rPr>
          <w:rStyle w:val="VerbatimChar"/>
        </w:rPr>
        <w:t xml:space="preserve">## p_co_4   0   0      0    0.0    0.0    0.0    0.0      0</w:t>
      </w:r>
      <w:r>
        <w:br/>
      </w:r>
      <w:r>
        <w:rPr>
          <w:rStyle w:val="VerbatimChar"/>
        </w:rPr>
        <w:t xml:space="preserve">## p_co_5   0   0      0    0.0    0.0    0.0    0.0      0</w:t>
      </w:r>
      <w:r>
        <w:br/>
      </w:r>
      <w:r>
        <w:rPr>
          <w:rStyle w:val="VerbatimChar"/>
        </w:rPr>
        <w:t xml:space="preserve">## p_co_6   0   0      0    0.0    0.0    0.0    0.0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3696.56   1021    267    227    363  65.25</w:t>
      </w:r>
      <w:r>
        <w:br/>
      </w:r>
      <w:r>
        <w:rPr>
          <w:rStyle w:val="VerbatimChar"/>
        </w:rPr>
        <w:t xml:space="preserve">## s_b      0   1    0.00      0      0      0      0   0.00</w:t>
      </w:r>
      <w:r>
        <w:br/>
      </w:r>
      <w:r>
        <w:rPr>
          <w:rStyle w:val="VerbatimChar"/>
        </w:rPr>
        <w:t xml:space="preserve">## p_co_1   0   0    0.00      0      0      0      0   0.00</w:t>
      </w:r>
      <w:r>
        <w:br/>
      </w:r>
      <w:r>
        <w:rPr>
          <w:rStyle w:val="VerbatimChar"/>
        </w:rPr>
        <w:t xml:space="preserve">## p_co_2   0   0    0.00      0      0      0      0   0.00</w:t>
      </w:r>
      <w:r>
        <w:br/>
      </w:r>
      <w:r>
        <w:rPr>
          <w:rStyle w:val="VerbatimChar"/>
        </w:rPr>
        <w:t xml:space="preserve">## p_co_3   0   0    0.00      0      0      0      0   0.00</w:t>
      </w:r>
      <w:r>
        <w:br/>
      </w:r>
      <w:r>
        <w:rPr>
          <w:rStyle w:val="VerbatimChar"/>
        </w:rPr>
        <w:t xml:space="preserve">## p_co_4   0   0    0.00      0      0      0      0   0.00</w:t>
      </w:r>
      <w:r>
        <w:br/>
      </w:r>
      <w:r>
        <w:rPr>
          <w:rStyle w:val="VerbatimChar"/>
        </w:rPr>
        <w:t xml:space="preserve">## p_co_5   0   0    0.00      0      0      0      0   0.00</w:t>
      </w:r>
      <w:r>
        <w:br/>
      </w:r>
      <w:r>
        <w:rPr>
          <w:rStyle w:val="VerbatimChar"/>
        </w:rPr>
        <w:t xml:space="preserve">## p_co_6   0   0    0.00      0      0      0      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3361.56 2109.44  891.5  722.5 432.25 154.75</w:t>
      </w:r>
      <w:r>
        <w:br/>
      </w:r>
      <w:r>
        <w:rPr>
          <w:rStyle w:val="VerbatimChar"/>
        </w:rPr>
        <w:t xml:space="preserve">## s_b      0   1    0.00    0.00    0.0    0.0   0.00   0.00</w:t>
      </w:r>
      <w:r>
        <w:br/>
      </w:r>
      <w:r>
        <w:rPr>
          <w:rStyle w:val="VerbatimChar"/>
        </w:rPr>
        <w:t xml:space="preserve">## p_co_1   0   0    0.00    0.00    0.0    0.0   0.00   0.00</w:t>
      </w:r>
      <w:r>
        <w:br/>
      </w:r>
      <w:r>
        <w:rPr>
          <w:rStyle w:val="VerbatimChar"/>
        </w:rPr>
        <w:t xml:space="preserve">## p_co_2   0   0    0.00    0.00    0.0    0.0   0.00   0.00</w:t>
      </w:r>
      <w:r>
        <w:br/>
      </w:r>
      <w:r>
        <w:rPr>
          <w:rStyle w:val="VerbatimChar"/>
        </w:rPr>
        <w:t xml:space="preserve">## p_co_3   0   0    0.00    0.00    0.0    0.0   0.00   0.00</w:t>
      </w:r>
      <w:r>
        <w:br/>
      </w:r>
      <w:r>
        <w:rPr>
          <w:rStyle w:val="VerbatimChar"/>
        </w:rPr>
        <w:t xml:space="preserve">## p_co_4   0   0    0.00    0.00    0.0    0.0   0.00   0.00</w:t>
      </w:r>
      <w:r>
        <w:br/>
      </w:r>
      <w:r>
        <w:rPr>
          <w:rStyle w:val="VerbatimChar"/>
        </w:rPr>
        <w:t xml:space="preserve">## p_co_5   0   0    0.00    0.00    0.0    0.0   0.00   0.00</w:t>
      </w:r>
      <w:r>
        <w:br/>
      </w:r>
      <w:r>
        <w:rPr>
          <w:rStyle w:val="VerbatimChar"/>
        </w:rPr>
        <w:t xml:space="preserve">## p_co_6   0   0    0.00    0.00    0.0    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47226.33  36547 24963.5 18982.89 6499.89 1756.22</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54736.67  78894 55179.33 21709.5 5373.67 1397.67</w:t>
      </w:r>
      <w:r>
        <w:br/>
      </w:r>
      <w:r>
        <w:rPr>
          <w:rStyle w:val="VerbatimChar"/>
        </w:rPr>
        <w:t xml:space="preserve">## s_b      0   1     0.00      0     0.00     0.0    0.00    0.00</w:t>
      </w:r>
      <w:r>
        <w:br/>
      </w:r>
      <w:r>
        <w:rPr>
          <w:rStyle w:val="VerbatimChar"/>
        </w:rPr>
        <w:t xml:space="preserve">## p_co_1   0   0     0.00      0     0.00     0.0    0.00    0.00</w:t>
      </w:r>
      <w:r>
        <w:br/>
      </w:r>
      <w:r>
        <w:rPr>
          <w:rStyle w:val="VerbatimChar"/>
        </w:rPr>
        <w:t xml:space="preserve">## p_co_2   0   0     0.00      0     0.00     0.0    0.00    0.00</w:t>
      </w:r>
      <w:r>
        <w:br/>
      </w:r>
      <w:r>
        <w:rPr>
          <w:rStyle w:val="VerbatimChar"/>
        </w:rPr>
        <w:t xml:space="preserve">## p_co_3   0   0     0.00      0     0.00     0.0    0.00    0.00</w:t>
      </w:r>
      <w:r>
        <w:br/>
      </w:r>
      <w:r>
        <w:rPr>
          <w:rStyle w:val="VerbatimChar"/>
        </w:rPr>
        <w:t xml:space="preserve">## p_co_4   0   0     0.00      0     0.00     0.0    0.00    0.00</w:t>
      </w:r>
      <w:r>
        <w:br/>
      </w:r>
      <w:r>
        <w:rPr>
          <w:rStyle w:val="VerbatimChar"/>
        </w:rPr>
        <w:t xml:space="preserve">## p_co_5   0   0     0.00      0     0.00     0.0    0.00    0.00</w:t>
      </w:r>
      <w:r>
        <w:br/>
      </w:r>
      <w:r>
        <w:rPr>
          <w:rStyle w:val="VerbatimChar"/>
        </w:rPr>
        <w:t xml:space="preserve">## p_co_6   0   0     0.00      0     0.00     0.0    0.00    0.00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1249255 702469.2 251112.9 62278.67 52229.92 63615.4</w:t>
      </w:r>
      <w:r>
        <w:br/>
      </w:r>
      <w:r>
        <w:rPr>
          <w:rStyle w:val="VerbatimChar"/>
        </w:rPr>
        <w:t xml:space="preserve">## s_b      0   1       0      0.0      0.0     0.00     0.00     0.0</w:t>
      </w:r>
      <w:r>
        <w:br/>
      </w:r>
      <w:r>
        <w:rPr>
          <w:rStyle w:val="VerbatimChar"/>
        </w:rPr>
        <w:t xml:space="preserve">## p_co_1   0   0       0      0.0      0.0     0.00     0.00     0.0</w:t>
      </w:r>
      <w:r>
        <w:br/>
      </w:r>
      <w:r>
        <w:rPr>
          <w:rStyle w:val="VerbatimChar"/>
        </w:rPr>
        <w:t xml:space="preserve">## p_co_2   0   0       0      0.0      0.0     0.00     0.00     0.0</w:t>
      </w:r>
      <w:r>
        <w:br/>
      </w:r>
      <w:r>
        <w:rPr>
          <w:rStyle w:val="VerbatimChar"/>
        </w:rPr>
        <w:t xml:space="preserve">## p_co_3   0   0       0      0.0      0.0     0.00     0.00     0.0</w:t>
      </w:r>
      <w:r>
        <w:br/>
      </w:r>
      <w:r>
        <w:rPr>
          <w:rStyle w:val="VerbatimChar"/>
        </w:rPr>
        <w:t xml:space="preserve">## p_co_4   0   0       0      0.0      0.0     0.00     0.00     0.0</w:t>
      </w:r>
      <w:r>
        <w:br/>
      </w:r>
      <w:r>
        <w:rPr>
          <w:rStyle w:val="VerbatimChar"/>
        </w:rPr>
        <w:t xml:space="preserve">## p_co_5   0   0       0      0.0      0.0     0.00     0.00     0.0</w:t>
      </w:r>
      <w:r>
        <w:br/>
      </w:r>
      <w:r>
        <w:rPr>
          <w:rStyle w:val="VerbatimChar"/>
        </w:rPr>
        <w:t xml:space="preserve">## p_co_6   0   0       0      0.0      0.0     0.00     0.00     0.0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682268.7 163529.3 111944.6 31397.89 27976.67 5621.89</w:t>
      </w:r>
      <w:r>
        <w:br/>
      </w:r>
      <w:r>
        <w:rPr>
          <w:rStyle w:val="VerbatimChar"/>
        </w:rPr>
        <w:t xml:space="preserve">## s_b      0   1      0.0      0.0      0.0     0.00     0.00    0.00</w:t>
      </w:r>
      <w:r>
        <w:br/>
      </w:r>
      <w:r>
        <w:rPr>
          <w:rStyle w:val="VerbatimChar"/>
        </w:rPr>
        <w:t xml:space="preserve">## p_co_1   0   0      0.0      0.0      0.0     0.00     0.00    0.00</w:t>
      </w:r>
      <w:r>
        <w:br/>
      </w:r>
      <w:r>
        <w:rPr>
          <w:rStyle w:val="VerbatimChar"/>
        </w:rPr>
        <w:t xml:space="preserve">## p_co_2   0   0      0.0      0.0      0.0     0.00     0.00    0.00</w:t>
      </w:r>
      <w:r>
        <w:br/>
      </w:r>
      <w:r>
        <w:rPr>
          <w:rStyle w:val="VerbatimChar"/>
        </w:rPr>
        <w:t xml:space="preserve">## p_co_3   0   0      0.0      0.0      0.0     0.00     0.00    0.00</w:t>
      </w:r>
      <w:r>
        <w:br/>
      </w:r>
      <w:r>
        <w:rPr>
          <w:rStyle w:val="VerbatimChar"/>
        </w:rPr>
        <w:t xml:space="preserve">## p_co_4   0   0      0.0      0.0      0.0     0.00     0.00    0.00</w:t>
      </w:r>
      <w:r>
        <w:br/>
      </w:r>
      <w:r>
        <w:rPr>
          <w:rStyle w:val="VerbatimChar"/>
        </w:rPr>
        <w:t xml:space="preserve">## p_co_5   0   0      0.0      0.0      0.0     0.00     0.00    0.00</w:t>
      </w:r>
      <w:r>
        <w:br/>
      </w:r>
      <w:r>
        <w:rPr>
          <w:rStyle w:val="VerbatimChar"/>
        </w:rPr>
        <w:t xml:space="preserve">## p_co_6   0   0      0.0      0.0      0.0     0.00     0.00    0.00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287288.8 101940.4 38300.5 7487.5 5401.83 18928.92</w:t>
      </w:r>
      <w:r>
        <w:br/>
      </w:r>
      <w:r>
        <w:rPr>
          <w:rStyle w:val="VerbatimChar"/>
        </w:rPr>
        <w:t xml:space="preserve">## s_b      0   1      0.0      0.0     0.0    0.0    0.00     0.00</w:t>
      </w:r>
      <w:r>
        <w:br/>
      </w:r>
      <w:r>
        <w:rPr>
          <w:rStyle w:val="VerbatimChar"/>
        </w:rPr>
        <w:t xml:space="preserve">## p_co_1   0   0      0.0      0.0     0.0    0.0    0.00     0.00</w:t>
      </w:r>
      <w:r>
        <w:br/>
      </w:r>
      <w:r>
        <w:rPr>
          <w:rStyle w:val="VerbatimChar"/>
        </w:rPr>
        <w:t xml:space="preserve">## p_co_2   0   0      0.0      0.0     0.0    0.0    0.00     0.00</w:t>
      </w:r>
      <w:r>
        <w:br/>
      </w:r>
      <w:r>
        <w:rPr>
          <w:rStyle w:val="VerbatimChar"/>
        </w:rPr>
        <w:t xml:space="preserve">## p_co_3   0   0      0.0      0.0     0.0    0.0    0.00     0.00</w:t>
      </w:r>
      <w:r>
        <w:br/>
      </w:r>
      <w:r>
        <w:rPr>
          <w:rStyle w:val="VerbatimChar"/>
        </w:rPr>
        <w:t xml:space="preserve">## p_co_4   0   0      0.0      0.0     0.0    0.0    0.00     0.00</w:t>
      </w:r>
      <w:r>
        <w:br/>
      </w:r>
      <w:r>
        <w:rPr>
          <w:rStyle w:val="VerbatimChar"/>
        </w:rPr>
        <w:t xml:space="preserve">## p_co_5   0   0      0.0      0.0     0.0    0.0    0.00     0.00</w:t>
      </w:r>
      <w:r>
        <w:br/>
      </w:r>
      <w:r>
        <w:rPr>
          <w:rStyle w:val="VerbatimChar"/>
        </w:rPr>
        <w:t xml:space="preserve">## p_co_6   0   0      0.0      0.0     0.0    0.0    0.00     0.00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41160  14720  25259  18228 6427.83 4673.56</w:t>
      </w:r>
      <w:r>
        <w:br/>
      </w:r>
      <w:r>
        <w:rPr>
          <w:rStyle w:val="VerbatimChar"/>
        </w:rPr>
        <w:t xml:space="preserve">## s_b      0   1      0      0      0      0    0.00    0.00</w:t>
      </w:r>
      <w:r>
        <w:br/>
      </w:r>
      <w:r>
        <w:rPr>
          <w:rStyle w:val="VerbatimChar"/>
        </w:rPr>
        <w:t xml:space="preserve">## p_co_1   0   0      0      0      0      0    0.00    0.00</w:t>
      </w:r>
      <w:r>
        <w:br/>
      </w:r>
      <w:r>
        <w:rPr>
          <w:rStyle w:val="VerbatimChar"/>
        </w:rPr>
        <w:t xml:space="preserve">## p_co_2   0   0      0      0      0      0    0.00    0.00</w:t>
      </w:r>
      <w:r>
        <w:br/>
      </w:r>
      <w:r>
        <w:rPr>
          <w:rStyle w:val="VerbatimChar"/>
        </w:rPr>
        <w:t xml:space="preserve">## p_co_3   0   0      0      0      0      0    0.00    0.00</w:t>
      </w:r>
      <w:r>
        <w:br/>
      </w:r>
      <w:r>
        <w:rPr>
          <w:rStyle w:val="VerbatimChar"/>
        </w:rPr>
        <w:t xml:space="preserve">## p_co_4   0   0      0      0      0      0    0.00    0.00</w:t>
      </w:r>
      <w:r>
        <w:br/>
      </w:r>
      <w:r>
        <w:rPr>
          <w:rStyle w:val="VerbatimChar"/>
        </w:rPr>
        <w:t xml:space="preserve">## p_co_5   0   0      0      0      0      0    0.00    0.00</w:t>
      </w:r>
      <w:r>
        <w:br/>
      </w:r>
      <w:r>
        <w:rPr>
          <w:rStyle w:val="VerbatimChar"/>
        </w:rPr>
        <w:t xml:space="preserve">## p_co_6   0   0      0      0      0      0    0.00    0.00</w:t>
      </w:r>
    </w:p>
    <w:bookmarkEnd w:id="96"/>
    <w:bookmarkEnd w:id="97"/>
    <w:bookmarkEnd w:id="98"/>
    <w:bookmarkStart w:id="99" w:name="simulation-1"/>
    <w:p>
      <w:pPr>
        <w:pStyle w:val="Heading3"/>
      </w:pPr>
      <w:r>
        <w:t xml:space="preserve">Simulation</w:t>
      </w:r>
    </w:p>
    <w:p>
      <w:pPr>
        <w:pStyle w:val="FirstParagraph"/>
      </w:pPr>
      <w:r>
        <w:t xml:space="preserve">We pooled all the data points in</w:t>
      </w:r>
      <w:r>
        <w:t xml:space="preserve"> </w:t>
      </w:r>
      <w:r>
        <w:t xml:space="preserve">Nguyen and Liebman (2022a)</w:t>
      </w:r>
      <w:r>
        <w:t xml:space="preserve"> </w:t>
      </w:r>
      <w:r>
        <w:t xml:space="preserve">into one regression of ln(individual fecundity +1) against ln(individual aboveground mass + 0.005) and estimated twenty-four means of fecundity on natural logarithm scales using</w:t>
      </w:r>
      <w:r>
        <w:t xml:space="preserve"> </w:t>
      </w:r>
      <w:r>
        <w:rPr>
          <w:rStyle w:val="VerbatimChar"/>
        </w:rPr>
        <w:t xml:space="preserve">emmeans(model, ~ Biomass, at = list(Biomass = c()</w:t>
      </w:r>
      <w:r>
        <w:t xml:space="preserve">. The values in</w:t>
      </w:r>
      <w:r>
        <w:t xml:space="preserve"> </w:t>
      </w:r>
      <w:r>
        <w:rPr>
          <w:rStyle w:val="VerbatimChar"/>
        </w:rPr>
        <w:t xml:space="preserve">Biomass = c()</w:t>
      </w:r>
      <w:r>
        <w:t xml:space="preserve"> </w:t>
      </w:r>
      <w:r>
        <w:t xml:space="preserve">were the mean of 24 quantiles of individual plant size on the original scale (gram/individual).</w:t>
      </w:r>
    </w:p>
    <w:p>
      <w:pPr>
        <w:pStyle w:val="TableCaption"/>
      </w:pPr>
      <w:r>
        <w:t xml:space="preserve">Table 7: Mean on original scale (M) and mean (m) and standard deviation (s) on natural logarithm scale estimation from a set of 24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0.65</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403.27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757.22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7,163.44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0.58</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11,200.58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18,619.89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42,785.63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0.83</w:t>
            </w:r>
          </w:p>
        </w:tc>
      </w:tr>
      <w:tr>
        <w:trPr>
          <w:cantSplit/>
          <w:trHeight w:val="360"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669.01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240,902.15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1.11</w:t>
            </w:r>
          </w:p>
        </w:tc>
      </w:tr>
    </w:tbl>
    <w:p>
      <w:pPr>
        <w:pStyle w:val="TableCaption"/>
      </w:pPr>
      <w:r>
        <w:t xml:space="preserve">Table 8: Mean on original scale (M) and mean (m) and standard deviation (s) on natural logarithm scale estimation from a set of 36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0.67</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0.40</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0.39</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658.32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821.70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1,021.39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1,729.63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0.37</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2,239.67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2,677.78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0.39</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3,553.98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0.41</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4,671.69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6,542.71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0.47</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8,607.77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0.47</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15,297.15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21,916.24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35,972.34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271.83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96,021.59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body36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877.92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318,074.08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12.63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0.91</w:t>
            </w:r>
          </w:p>
        </w:tc>
      </w:tr>
    </w:tbl>
    <w:bookmarkEnd w:id="99"/>
    <w:bookmarkEnd w:id="100"/>
    <w:bookmarkEnd w:id="101"/>
    <w:bookmarkStart w:id="102" w:name="acknowledgement"/>
    <w:p>
      <w:pPr>
        <w:pStyle w:val="Heading1"/>
      </w:pPr>
      <w:r>
        <w:t xml:space="preserve">Acknowledgement</w:t>
      </w:r>
    </w:p>
    <w:bookmarkEnd w:id="102"/>
    <w:bookmarkStart w:id="166" w:name="references"/>
    <w:p>
      <w:pPr>
        <w:pStyle w:val="Heading1"/>
      </w:pPr>
      <w:r>
        <w:t xml:space="preserve">References</w:t>
      </w:r>
    </w:p>
    <w:bookmarkStart w:id="165" w:name="refs"/>
    <w:bookmarkStart w:id="104"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103">
        <w:r>
          <w:rPr>
            <w:rStyle w:val="Hyperlink"/>
          </w:rPr>
          <w:t xml:space="preserve">https://doi.org/dmnt6f</w:t>
        </w:r>
      </w:hyperlink>
    </w:p>
    <w:bookmarkEnd w:id="104"/>
    <w:bookmarkStart w:id="105"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105"/>
    <w:bookmarkStart w:id="106"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106"/>
    <w:bookmarkStart w:id="108"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107">
        <w:r>
          <w:rPr>
            <w:rStyle w:val="Hyperlink"/>
          </w:rPr>
          <w:t xml:space="preserve">https://doi.org/cbjqq5</w:t>
        </w:r>
      </w:hyperlink>
    </w:p>
    <w:bookmarkEnd w:id="108"/>
    <w:bookmarkStart w:id="110" w:name="ref-costeaBiologyInvasiveAlien2005"/>
    <w:p>
      <w:pPr>
        <w:pStyle w:val="Bibliography"/>
      </w:pPr>
      <w:r>
        <w:t xml:space="preserve">Costea, M., Weaver, S. E., and Tardif, F. J. (2005). The biology of invasive alien plants in</w:t>
      </w:r>
      <w:r>
        <w:t xml:space="preserve"> </w:t>
      </w:r>
      <w:r>
        <w:t xml:space="preserve">Canada</w:t>
      </w:r>
      <w:r>
        <w:t xml:space="preserve">. 3.</w:t>
      </w:r>
      <w:r>
        <w:t xml:space="preserve"> </w:t>
      </w:r>
      <w:r>
        <w:rPr>
          <w:iCs/>
          <w:i/>
        </w:rPr>
        <w:t xml:space="preserve">Amaranthus tuberculatus</w:t>
      </w:r>
      <w:r>
        <w:t xml:space="preserve"> </w:t>
      </w:r>
      <w:r>
        <w:t xml:space="preserve"> </w:t>
      </w:r>
      <w:r>
        <w:t xml:space="preserve">(</w:t>
      </w:r>
      <w:r>
        <w:t xml:space="preserve">Moq</w:t>
      </w:r>
      <w:r>
        <w:t xml:space="preserve">.)</w:t>
      </w:r>
      <w:r>
        <w:t xml:space="preserve"> </w:t>
      </w:r>
      <w:r>
        <w:t xml:space="preserve">Sauer</w:t>
      </w:r>
      <w:r>
        <w:t xml:space="preserve"> </w:t>
      </w:r>
      <w:r>
        <w:t xml:space="preserve">var.</w:t>
      </w:r>
      <w:r>
        <w:t xml:space="preserve"> </w:t>
      </w:r>
      <w:r>
        <w:rPr>
          <w:iCs/>
          <w:i/>
        </w:rPr>
        <w:t xml:space="preserve">rudis</w:t>
      </w:r>
      <w:r>
        <w:t xml:space="preserve"> </w:t>
      </w:r>
      <w:r>
        <w:t xml:space="preserve">(</w:t>
      </w:r>
      <w:r>
        <w:t xml:space="preserve">Sauer</w:t>
      </w:r>
      <w:r>
        <w:t xml:space="preserve">)</w:t>
      </w:r>
      <w:r>
        <w:t xml:space="preserve"> </w:t>
      </w:r>
      <w:r>
        <w:t xml:space="preserve">Costea</w:t>
      </w:r>
      <w:r>
        <w:t xml:space="preserve"> </w:t>
      </w:r>
      <w:r>
        <w:t xml:space="preserve">&amp;</w:t>
      </w:r>
      <w:r>
        <w:t xml:space="preserve"> </w:t>
      </w:r>
      <w:r>
        <w:t xml:space="preserve">Tardif</w:t>
      </w:r>
      <w:r>
        <w:t xml:space="preserve">.</w:t>
      </w:r>
      <w:r>
        <w:t xml:space="preserve"> </w:t>
      </w:r>
      <w:r>
        <w:rPr>
          <w:iCs/>
          <w:i/>
        </w:rPr>
        <w:t xml:space="preserve">Can. J. Plant Sci.</w:t>
      </w:r>
      <w:r>
        <w:t xml:space="preserve">,</w:t>
      </w:r>
      <w:r>
        <w:t xml:space="preserve"> </w:t>
      </w:r>
      <w:r>
        <w:rPr>
          <w:iCs/>
          <w:i/>
        </w:rPr>
        <w:t xml:space="preserve">85</w:t>
      </w:r>
      <w:r>
        <w:t xml:space="preserve">(2), 507–522.</w:t>
      </w:r>
      <w:r>
        <w:t xml:space="preserve"> </w:t>
      </w:r>
      <w:hyperlink r:id="rId109">
        <w:r>
          <w:rPr>
            <w:rStyle w:val="Hyperlink"/>
          </w:rPr>
          <w:t xml:space="preserve">https://doi.org/b75t54</w:t>
        </w:r>
      </w:hyperlink>
    </w:p>
    <w:bookmarkEnd w:id="110"/>
    <w:bookmarkStart w:id="112"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111">
        <w:r>
          <w:rPr>
            <w:rStyle w:val="Hyperlink"/>
          </w:rPr>
          <w:t xml:space="preserve">https://doi.org/10.1017/CBO9780511608629</w:t>
        </w:r>
      </w:hyperlink>
    </w:p>
    <w:bookmarkEnd w:id="112"/>
    <w:bookmarkStart w:id="114"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13">
        <w:r>
          <w:rPr>
            <w:rStyle w:val="Hyperlink"/>
          </w:rPr>
          <w:t xml:space="preserve">https://doi.org/d824tt</w:t>
        </w:r>
      </w:hyperlink>
    </w:p>
    <w:bookmarkEnd w:id="114"/>
    <w:bookmarkStart w:id="116"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15">
        <w:r>
          <w:rPr>
            <w:rStyle w:val="Hyperlink"/>
          </w:rPr>
          <w:t xml:space="preserve">https://doi.org/bmncpf</w:t>
        </w:r>
      </w:hyperlink>
    </w:p>
    <w:bookmarkEnd w:id="116"/>
    <w:bookmarkStart w:id="118"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17">
        <w:r>
          <w:rPr>
            <w:rStyle w:val="Hyperlink"/>
          </w:rPr>
          <w:t xml:space="preserve">https://doi.org/10.31274/rtd-180814-161</w:t>
        </w:r>
      </w:hyperlink>
    </w:p>
    <w:bookmarkEnd w:id="118"/>
    <w:bookmarkStart w:id="120"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19">
        <w:r>
          <w:rPr>
            <w:rStyle w:val="Hyperlink"/>
          </w:rPr>
          <w:t xml:space="preserve">https://doi.org/dmvcdf</w:t>
        </w:r>
      </w:hyperlink>
    </w:p>
    <w:bookmarkEnd w:id="120"/>
    <w:bookmarkStart w:id="122"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21">
        <w:r>
          <w:rPr>
            <w:rStyle w:val="Hyperlink"/>
          </w:rPr>
          <w:t xml:space="preserve">https://doi.org/bxq7q8</w:t>
        </w:r>
      </w:hyperlink>
    </w:p>
    <w:bookmarkEnd w:id="122"/>
    <w:bookmarkStart w:id="124"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23">
        <w:r>
          <w:rPr>
            <w:rStyle w:val="Hyperlink"/>
          </w:rPr>
          <w:t xml:space="preserve">https://doi.org/cdzbdn</w:t>
        </w:r>
      </w:hyperlink>
    </w:p>
    <w:bookmarkEnd w:id="124"/>
    <w:bookmarkStart w:id="126"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25">
        <w:r>
          <w:rPr>
            <w:rStyle w:val="Hyperlink"/>
          </w:rPr>
          <w:t xml:space="preserve">https://doi.org/cmhpxk</w:t>
        </w:r>
      </w:hyperlink>
    </w:p>
    <w:bookmarkEnd w:id="126"/>
    <w:bookmarkStart w:id="128" w:name="ref-heneghanGrowthDevelopmentFive2017"/>
    <w:p>
      <w:pPr>
        <w:pStyle w:val="Bibliography"/>
      </w:pPr>
      <w:r>
        <w:t xml:space="preserve">Heneghan, J. M., and Johnson, W. G. (2017). The growth and development of five waterhemp (</w:t>
      </w:r>
      <w:r>
        <w:rPr>
          <w:iCs/>
          <w:i/>
        </w:rPr>
        <w:t xml:space="preserve">Amaranthus tuberculatus</w:t>
      </w:r>
      <w:r>
        <w:t xml:space="preserve">) populations in a common garden.</w:t>
      </w:r>
      <w:r>
        <w:t xml:space="preserve"> </w:t>
      </w:r>
      <w:r>
        <w:rPr>
          <w:iCs/>
          <w:i/>
        </w:rPr>
        <w:t xml:space="preserve">Weed Science</w:t>
      </w:r>
      <w:r>
        <w:t xml:space="preserve">,</w:t>
      </w:r>
      <w:r>
        <w:t xml:space="preserve"> </w:t>
      </w:r>
      <w:r>
        <w:rPr>
          <w:iCs/>
          <w:i/>
        </w:rPr>
        <w:t xml:space="preserve">65</w:t>
      </w:r>
      <w:r>
        <w:t xml:space="preserve">(2), 247–255.</w:t>
      </w:r>
      <w:r>
        <w:t xml:space="preserve"> </w:t>
      </w:r>
      <w:hyperlink r:id="rId127">
        <w:r>
          <w:rPr>
            <w:rStyle w:val="Hyperlink"/>
          </w:rPr>
          <w:t xml:space="preserve">https://doi.org/f93hz9</w:t>
        </w:r>
      </w:hyperlink>
    </w:p>
    <w:bookmarkEnd w:id="128"/>
    <w:bookmarkStart w:id="130"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29">
        <w:r>
          <w:rPr>
            <w:rStyle w:val="Hyperlink"/>
          </w:rPr>
          <w:t xml:space="preserve">https://doi.org/dxmb34</w:t>
        </w:r>
      </w:hyperlink>
    </w:p>
    <w:bookmarkEnd w:id="130"/>
    <w:bookmarkStart w:id="132"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31">
        <w:r>
          <w:rPr>
            <w:rStyle w:val="Hyperlink"/>
          </w:rPr>
          <w:t xml:space="preserve">https://doi.org/gd2hgf</w:t>
        </w:r>
      </w:hyperlink>
    </w:p>
    <w:bookmarkEnd w:id="132"/>
    <w:bookmarkStart w:id="134"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33">
        <w:r>
          <w:rPr>
            <w:rStyle w:val="Hyperlink"/>
          </w:rPr>
          <w:t xml:space="preserve">https://doi.org/bskdps</w:t>
        </w:r>
      </w:hyperlink>
    </w:p>
    <w:bookmarkEnd w:id="134"/>
    <w:bookmarkStart w:id="136" w:name="ref-liuPollenBiologyDispersal2012"/>
    <w:p>
      <w:pPr>
        <w:pStyle w:val="Bibliography"/>
      </w:pPr>
      <w:r>
        <w:t xml:space="preserve">Liu, J., Davis, A. S., and Tranel, P. J. (2012). Pollen biology and dispersal dynamics in waterhemp (</w:t>
      </w:r>
      <w:r>
        <w:rPr>
          <w:iCs/>
          <w:i/>
        </w:rPr>
        <w:t xml:space="preserve">Amaranthus</w:t>
      </w:r>
      <w:r>
        <w:t xml:space="preserve"> </w:t>
      </w:r>
      <w:r>
        <w:rPr>
          <w:iCs/>
          <w:i/>
        </w:rPr>
        <w:t xml:space="preserve">Tuberculatus</w:t>
      </w:r>
      <w:r>
        <w:t xml:space="preserve">).</w:t>
      </w:r>
      <w:r>
        <w:t xml:space="preserve"> </w:t>
      </w:r>
      <w:r>
        <w:rPr>
          <w:iCs/>
          <w:i/>
        </w:rPr>
        <w:t xml:space="preserve">Weed Science</w:t>
      </w:r>
      <w:r>
        <w:t xml:space="preserve">,</w:t>
      </w:r>
      <w:r>
        <w:t xml:space="preserve"> </w:t>
      </w:r>
      <w:r>
        <w:rPr>
          <w:iCs/>
          <w:i/>
        </w:rPr>
        <w:t xml:space="preserve">60</w:t>
      </w:r>
      <w:r>
        <w:t xml:space="preserve">(3), 416–422.</w:t>
      </w:r>
      <w:r>
        <w:t xml:space="preserve"> </w:t>
      </w:r>
      <w:hyperlink r:id="rId135">
        <w:r>
          <w:rPr>
            <w:rStyle w:val="Hyperlink"/>
          </w:rPr>
          <w:t xml:space="preserve">https://doi.org/f35xbv</w:t>
        </w:r>
      </w:hyperlink>
    </w:p>
    <w:bookmarkEnd w:id="136"/>
    <w:bookmarkStart w:id="138" w:name="X496882e430c223ae1bb8ffdf3f8f3a1f5691e52"/>
    <w:p>
      <w:pPr>
        <w:pStyle w:val="Bibliography"/>
      </w:pPr>
      <w:r>
        <w:t xml:space="preserve">Montgomery, J. S., Giacomini, D. A., Weigel, D., and Tranel, P. J. (2021). Male-specific</w:t>
      </w:r>
      <w:r>
        <w:t xml:space="preserve"> </w:t>
      </w:r>
      <w:r>
        <w:t xml:space="preserve">Y</w:t>
      </w:r>
      <w:r>
        <w:t xml:space="preserve">-chromosomal regions in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New Phytol</w:t>
      </w:r>
      <w:r>
        <w:t xml:space="preserve">,</w:t>
      </w:r>
      <w:r>
        <w:t xml:space="preserve"> </w:t>
      </w:r>
      <w:r>
        <w:rPr>
          <w:iCs/>
          <w:i/>
        </w:rPr>
        <w:t xml:space="preserve">229</w:t>
      </w:r>
      <w:r>
        <w:t xml:space="preserve">(6), 3522–3533.</w:t>
      </w:r>
      <w:r>
        <w:t xml:space="preserve"> </w:t>
      </w:r>
      <w:hyperlink r:id="rId137">
        <w:r>
          <w:rPr>
            <w:rStyle w:val="Hyperlink"/>
          </w:rPr>
          <w:t xml:space="preserve">https://doi.org/gjpz5c</w:t>
        </w:r>
      </w:hyperlink>
    </w:p>
    <w:bookmarkEnd w:id="138"/>
    <w:bookmarkStart w:id="140" w:name="X7723847c6d02b7eb8860381177e74df7d23e698"/>
    <w:p>
      <w:pPr>
        <w:pStyle w:val="Bibliography"/>
      </w:pPr>
      <w:r>
        <w:t xml:space="preserve">Montgomery, J. S., Sadeque, A., Giacomini, D. A., Brown, P. J., and Tranel, P. J. (2019). Sex-specific markers for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Weed Science</w:t>
      </w:r>
      <w:r>
        <w:t xml:space="preserve">,</w:t>
      </w:r>
      <w:r>
        <w:t xml:space="preserve"> </w:t>
      </w:r>
      <w:r>
        <w:rPr>
          <w:iCs/>
          <w:i/>
        </w:rPr>
        <w:t xml:space="preserve">67</w:t>
      </w:r>
      <w:r>
        <w:t xml:space="preserve">(4), 412–418.</w:t>
      </w:r>
      <w:r>
        <w:t xml:space="preserve"> </w:t>
      </w:r>
      <w:hyperlink r:id="rId139">
        <w:r>
          <w:rPr>
            <w:rStyle w:val="Hyperlink"/>
          </w:rPr>
          <w:t xml:space="preserve">https://doi.org/gf5pdq</w:t>
        </w:r>
      </w:hyperlink>
    </w:p>
    <w:bookmarkEnd w:id="140"/>
    <w:bookmarkStart w:id="142"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41">
        <w:r>
          <w:rPr>
            <w:rStyle w:val="Hyperlink"/>
          </w:rPr>
          <w:t xml:space="preserve">https://doi.org/gpsrmj</w:t>
        </w:r>
      </w:hyperlink>
    </w:p>
    <w:bookmarkEnd w:id="142"/>
    <w:bookmarkStart w:id="144"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43">
        <w:r>
          <w:rPr>
            <w:rStyle w:val="Hyperlink"/>
          </w:rPr>
          <w:t xml:space="preserve">https://doi.org/gpsrmk</w:t>
        </w:r>
      </w:hyperlink>
    </w:p>
    <w:bookmarkEnd w:id="144"/>
    <w:bookmarkStart w:id="146"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45">
        <w:r>
          <w:rPr>
            <w:rStyle w:val="Hyperlink"/>
          </w:rPr>
          <w:t xml:space="preserve">https://doi.org/10.1614/WS-03-060R</w:t>
        </w:r>
      </w:hyperlink>
    </w:p>
    <w:bookmarkEnd w:id="146"/>
    <w:bookmarkStart w:id="148"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47">
        <w:r>
          <w:rPr>
            <w:rStyle w:val="Hyperlink"/>
          </w:rPr>
          <w:t xml:space="preserve">https://doi.org/f37vn9</w:t>
        </w:r>
      </w:hyperlink>
    </w:p>
    <w:bookmarkEnd w:id="148"/>
    <w:bookmarkStart w:id="149"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49"/>
    <w:bookmarkStart w:id="151" w:name="ref-schutteCommonWaterhempAmaranthus2014"/>
    <w:p>
      <w:pPr>
        <w:pStyle w:val="Bibliography"/>
      </w:pPr>
      <w:r>
        <w:t xml:space="preserve">Schutte, B. J., and Davis, A. S. (2014). Do common waterhemp (</w:t>
      </w:r>
      <w:r>
        <w:rPr>
          <w:iCs/>
          <w:i/>
        </w:rPr>
        <w:t xml:space="preserve">Amaranthus</w:t>
      </w:r>
      <w:r>
        <w:t xml:space="preserve"> </w:t>
      </w:r>
      <w:r>
        <w:rPr>
          <w:iCs/>
          <w:i/>
        </w:rPr>
        <w:t xml:space="preserve">Tuberculatus</w:t>
      </w:r>
      <w:r>
        <w:t xml:space="preserve">) seedling emergence patterns meet criteria for herbicide resistance simulation modeling?</w:t>
      </w:r>
      <w:r>
        <w:t xml:space="preserve"> </w:t>
      </w:r>
      <w:r>
        <w:rPr>
          <w:iCs/>
          <w:i/>
        </w:rPr>
        <w:t xml:space="preserve">Weed Technology</w:t>
      </w:r>
      <w:r>
        <w:t xml:space="preserve">,</w:t>
      </w:r>
      <w:r>
        <w:t xml:space="preserve"> </w:t>
      </w:r>
      <w:r>
        <w:rPr>
          <w:iCs/>
          <w:i/>
        </w:rPr>
        <w:t xml:space="preserve">28</w:t>
      </w:r>
      <w:r>
        <w:t xml:space="preserve">(2), 408–417.</w:t>
      </w:r>
      <w:r>
        <w:t xml:space="preserve"> </w:t>
      </w:r>
      <w:hyperlink r:id="rId150">
        <w:r>
          <w:rPr>
            <w:rStyle w:val="Hyperlink"/>
          </w:rPr>
          <w:t xml:space="preserve">https://doi.org/f54k2x</w:t>
        </w:r>
      </w:hyperlink>
    </w:p>
    <w:bookmarkEnd w:id="151"/>
    <w:bookmarkStart w:id="153"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52">
        <w:r>
          <w:rPr>
            <w:rStyle w:val="Hyperlink"/>
          </w:rPr>
          <w:t xml:space="preserve">https://doi.org/f4vgfs</w:t>
        </w:r>
      </w:hyperlink>
    </w:p>
    <w:bookmarkEnd w:id="153"/>
    <w:bookmarkStart w:id="155"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54">
        <w:r>
          <w:rPr>
            <w:rStyle w:val="Hyperlink"/>
          </w:rPr>
          <w:t xml:space="preserve">https://doi.org/dzh845</w:t>
        </w:r>
      </w:hyperlink>
    </w:p>
    <w:bookmarkEnd w:id="155"/>
    <w:bookmarkStart w:id="157"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56">
        <w:r>
          <w:rPr>
            <w:rStyle w:val="Hyperlink"/>
          </w:rPr>
          <w:t xml:space="preserve">https://doi.org/bhs6vt</w:t>
        </w:r>
      </w:hyperlink>
    </w:p>
    <w:bookmarkEnd w:id="157"/>
    <w:bookmarkStart w:id="158"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58"/>
    <w:bookmarkStart w:id="160"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59">
        <w:r>
          <w:rPr>
            <w:rStyle w:val="Hyperlink"/>
          </w:rPr>
          <w:t xml:space="preserve">https://doi.org/gjpz5w</w:t>
        </w:r>
      </w:hyperlink>
    </w:p>
    <w:bookmarkEnd w:id="160"/>
    <w:bookmarkStart w:id="161"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61"/>
    <w:bookmarkStart w:id="163"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62">
        <w:r>
          <w:rPr>
            <w:rStyle w:val="Hyperlink"/>
          </w:rPr>
          <w:t xml:space="preserve">https://doi.org/f5z7zc</w:t>
        </w:r>
      </w:hyperlink>
    </w:p>
    <w:bookmarkEnd w:id="163"/>
    <w:bookmarkStart w:id="164"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36" Target="media/rId36.png" /><Relationship Type="http://schemas.openxmlformats.org/officeDocument/2006/relationships/image" Id="rId68" Target="media/rId68.png" /><Relationship Type="http://schemas.openxmlformats.org/officeDocument/2006/relationships/image" Id="rId79" Target="media/rId79.png" /><Relationship Type="http://schemas.openxmlformats.org/officeDocument/2006/relationships/hyperlink" Id="rId111" Target="https://doi.org/10.1017/CBO9780511608629" TargetMode="External" /><Relationship Type="http://schemas.openxmlformats.org/officeDocument/2006/relationships/hyperlink" Id="rId145" Target="https://doi.org/10.1614/WS-03-060R" TargetMode="External" /><Relationship Type="http://schemas.openxmlformats.org/officeDocument/2006/relationships/hyperlink" Id="rId117" Target="https://doi.org/10.31274/rtd-180814-161" TargetMode="External" /><Relationship Type="http://schemas.openxmlformats.org/officeDocument/2006/relationships/hyperlink" Id="rId109" Target="https://doi.org/b75t54" TargetMode="External" /><Relationship Type="http://schemas.openxmlformats.org/officeDocument/2006/relationships/hyperlink" Id="rId156" Target="https://doi.org/bhs6vt" TargetMode="External" /><Relationship Type="http://schemas.openxmlformats.org/officeDocument/2006/relationships/hyperlink" Id="rId115" Target="https://doi.org/bmncpf" TargetMode="External" /><Relationship Type="http://schemas.openxmlformats.org/officeDocument/2006/relationships/hyperlink" Id="rId133" Target="https://doi.org/bskdps" TargetMode="External" /><Relationship Type="http://schemas.openxmlformats.org/officeDocument/2006/relationships/hyperlink" Id="rId121" Target="https://doi.org/bxq7q8" TargetMode="External" /><Relationship Type="http://schemas.openxmlformats.org/officeDocument/2006/relationships/hyperlink" Id="rId107" Target="https://doi.org/cbjqq5" TargetMode="External" /><Relationship Type="http://schemas.openxmlformats.org/officeDocument/2006/relationships/hyperlink" Id="rId123" Target="https://doi.org/cdzbdn" TargetMode="External" /><Relationship Type="http://schemas.openxmlformats.org/officeDocument/2006/relationships/hyperlink" Id="rId125" Target="https://doi.org/cmhpxk" TargetMode="External" /><Relationship Type="http://schemas.openxmlformats.org/officeDocument/2006/relationships/hyperlink" Id="rId113" Target="https://doi.org/d824tt" TargetMode="External" /><Relationship Type="http://schemas.openxmlformats.org/officeDocument/2006/relationships/hyperlink" Id="rId103" Target="https://doi.org/dmnt6f" TargetMode="External" /><Relationship Type="http://schemas.openxmlformats.org/officeDocument/2006/relationships/hyperlink" Id="rId119" Target="https://doi.org/dmvcdf" TargetMode="External" /><Relationship Type="http://schemas.openxmlformats.org/officeDocument/2006/relationships/hyperlink" Id="rId129" Target="https://doi.org/dxmb34" TargetMode="External" /><Relationship Type="http://schemas.openxmlformats.org/officeDocument/2006/relationships/hyperlink" Id="rId154" Target="https://doi.org/dzh845" TargetMode="External" /><Relationship Type="http://schemas.openxmlformats.org/officeDocument/2006/relationships/hyperlink" Id="rId135" Target="https://doi.org/f35xbv" TargetMode="External" /><Relationship Type="http://schemas.openxmlformats.org/officeDocument/2006/relationships/hyperlink" Id="rId147" Target="https://doi.org/f37vn9" TargetMode="External" /><Relationship Type="http://schemas.openxmlformats.org/officeDocument/2006/relationships/hyperlink" Id="rId152" Target="https://doi.org/f4vgfs" TargetMode="External" /><Relationship Type="http://schemas.openxmlformats.org/officeDocument/2006/relationships/hyperlink" Id="rId150" Target="https://doi.org/f54k2x" TargetMode="External" /><Relationship Type="http://schemas.openxmlformats.org/officeDocument/2006/relationships/hyperlink" Id="rId162" Target="https://doi.org/f5z7zc" TargetMode="External" /><Relationship Type="http://schemas.openxmlformats.org/officeDocument/2006/relationships/hyperlink" Id="rId127" Target="https://doi.org/f93hz9" TargetMode="External" /><Relationship Type="http://schemas.openxmlformats.org/officeDocument/2006/relationships/hyperlink" Id="rId131" Target="https://doi.org/gd2hgf" TargetMode="External" /><Relationship Type="http://schemas.openxmlformats.org/officeDocument/2006/relationships/hyperlink" Id="rId139" Target="https://doi.org/gf5pdq" TargetMode="External" /><Relationship Type="http://schemas.openxmlformats.org/officeDocument/2006/relationships/hyperlink" Id="rId137" Target="https://doi.org/gjpz5c" TargetMode="External" /><Relationship Type="http://schemas.openxmlformats.org/officeDocument/2006/relationships/hyperlink" Id="rId159" Target="https://doi.org/gjpz5w" TargetMode="External" /><Relationship Type="http://schemas.openxmlformats.org/officeDocument/2006/relationships/hyperlink" Id="rId141" Target="https://doi.org/gpsrmj" TargetMode="External" /><Relationship Type="http://schemas.openxmlformats.org/officeDocument/2006/relationships/hyperlink" Id="rId143"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11" Target="https://doi.org/10.1017/CBO9780511608629" TargetMode="External" /><Relationship Type="http://schemas.openxmlformats.org/officeDocument/2006/relationships/hyperlink" Id="rId145" Target="https://doi.org/10.1614/WS-03-060R" TargetMode="External" /><Relationship Type="http://schemas.openxmlformats.org/officeDocument/2006/relationships/hyperlink" Id="rId117" Target="https://doi.org/10.31274/rtd-180814-161" TargetMode="External" /><Relationship Type="http://schemas.openxmlformats.org/officeDocument/2006/relationships/hyperlink" Id="rId109" Target="https://doi.org/b75t54" TargetMode="External" /><Relationship Type="http://schemas.openxmlformats.org/officeDocument/2006/relationships/hyperlink" Id="rId156" Target="https://doi.org/bhs6vt" TargetMode="External" /><Relationship Type="http://schemas.openxmlformats.org/officeDocument/2006/relationships/hyperlink" Id="rId115" Target="https://doi.org/bmncpf" TargetMode="External" /><Relationship Type="http://schemas.openxmlformats.org/officeDocument/2006/relationships/hyperlink" Id="rId133" Target="https://doi.org/bskdps" TargetMode="External" /><Relationship Type="http://schemas.openxmlformats.org/officeDocument/2006/relationships/hyperlink" Id="rId121" Target="https://doi.org/bxq7q8" TargetMode="External" /><Relationship Type="http://schemas.openxmlformats.org/officeDocument/2006/relationships/hyperlink" Id="rId107" Target="https://doi.org/cbjqq5" TargetMode="External" /><Relationship Type="http://schemas.openxmlformats.org/officeDocument/2006/relationships/hyperlink" Id="rId123" Target="https://doi.org/cdzbdn" TargetMode="External" /><Relationship Type="http://schemas.openxmlformats.org/officeDocument/2006/relationships/hyperlink" Id="rId125" Target="https://doi.org/cmhpxk" TargetMode="External" /><Relationship Type="http://schemas.openxmlformats.org/officeDocument/2006/relationships/hyperlink" Id="rId113" Target="https://doi.org/d824tt" TargetMode="External" /><Relationship Type="http://schemas.openxmlformats.org/officeDocument/2006/relationships/hyperlink" Id="rId103" Target="https://doi.org/dmnt6f" TargetMode="External" /><Relationship Type="http://schemas.openxmlformats.org/officeDocument/2006/relationships/hyperlink" Id="rId119" Target="https://doi.org/dmvcdf" TargetMode="External" /><Relationship Type="http://schemas.openxmlformats.org/officeDocument/2006/relationships/hyperlink" Id="rId129" Target="https://doi.org/dxmb34" TargetMode="External" /><Relationship Type="http://schemas.openxmlformats.org/officeDocument/2006/relationships/hyperlink" Id="rId154" Target="https://doi.org/dzh845" TargetMode="External" /><Relationship Type="http://schemas.openxmlformats.org/officeDocument/2006/relationships/hyperlink" Id="rId135" Target="https://doi.org/f35xbv" TargetMode="External" /><Relationship Type="http://schemas.openxmlformats.org/officeDocument/2006/relationships/hyperlink" Id="rId147" Target="https://doi.org/f37vn9" TargetMode="External" /><Relationship Type="http://schemas.openxmlformats.org/officeDocument/2006/relationships/hyperlink" Id="rId152" Target="https://doi.org/f4vgfs" TargetMode="External" /><Relationship Type="http://schemas.openxmlformats.org/officeDocument/2006/relationships/hyperlink" Id="rId150" Target="https://doi.org/f54k2x" TargetMode="External" /><Relationship Type="http://schemas.openxmlformats.org/officeDocument/2006/relationships/hyperlink" Id="rId162" Target="https://doi.org/f5z7zc" TargetMode="External" /><Relationship Type="http://schemas.openxmlformats.org/officeDocument/2006/relationships/hyperlink" Id="rId127" Target="https://doi.org/f93hz9" TargetMode="External" /><Relationship Type="http://schemas.openxmlformats.org/officeDocument/2006/relationships/hyperlink" Id="rId131" Target="https://doi.org/gd2hgf" TargetMode="External" /><Relationship Type="http://schemas.openxmlformats.org/officeDocument/2006/relationships/hyperlink" Id="rId139" Target="https://doi.org/gf5pdq" TargetMode="External" /><Relationship Type="http://schemas.openxmlformats.org/officeDocument/2006/relationships/hyperlink" Id="rId137" Target="https://doi.org/gjpz5c" TargetMode="External" /><Relationship Type="http://schemas.openxmlformats.org/officeDocument/2006/relationships/hyperlink" Id="rId159" Target="https://doi.org/gjpz5w" TargetMode="External" /><Relationship Type="http://schemas.openxmlformats.org/officeDocument/2006/relationships/hyperlink" Id="rId141" Target="https://doi.org/gpsrmj" TargetMode="External" /><Relationship Type="http://schemas.openxmlformats.org/officeDocument/2006/relationships/hyperlink" Id="rId143"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dcterms:created xsi:type="dcterms:W3CDTF">2022-08-01T20:29:57Z</dcterms:created>
  <dcterms:modified xsi:type="dcterms:W3CDTF">2022-08-01T20:29:57Z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