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results-and-discussion"/>
    <w:p>
      <w:pPr>
        <w:pStyle w:val="Heading1"/>
      </w:pPr>
      <w:r>
        <w:t xml:space="preserve">Results and discussion</w:t>
      </w:r>
    </w:p>
    <w:bookmarkStart w:id="22" w:name="waterhemp-population-growth-rates"/>
    <w:p>
      <w:pPr>
        <w:pStyle w:val="Heading2"/>
      </w:pPr>
      <w:r>
        <w:t xml:space="preserve">Waterhemp population growth rates</w:t>
      </w:r>
    </w:p>
    <w:bookmarkStart w:id="20" w:name="scenario-1"/>
    <w:p>
      <w:pPr>
        <w:pStyle w:val="Heading3"/>
      </w:pPr>
      <w:r>
        <w:t xml:space="preserve">Scenario 1</w:t>
      </w:r>
    </w:p>
    <w:p>
      <w:pPr>
        <w:pStyle w:val="FirstParagraph"/>
      </w:pPr>
      <w:r>
        <w:t xml:space="preserve">Using 2019 fecundity rates, that were estimated from individual plant size using eighteen equations from</w:t>
      </w:r>
      <w:r>
        <w:t xml:space="preserve"> </w:t>
      </w:r>
      <w:r>
        <w:t xml:space="preserve">Nguyen and Liebman (2022)</w:t>
      </w:r>
      <w:r>
        <w:t xml:space="preserve">, waterhemp population densities were decreasing in all rotations, the fastest in the 2-year rotation under low herbicide corn weed management and the 3-year rotation under both corn weed management programs (Figures</w:t>
      </w:r>
      <w:r>
        <w:t xml:space="preserve"> </w:t>
      </w:r>
      <w:r>
        <w:t xml:space="preserve">1</w:t>
      </w:r>
      <w:r>
        <w:t xml:space="preserve">).</w:t>
      </w:r>
      <w:r>
        <w:t xml:space="preserve"> </w:t>
      </w:r>
      <m:oMath>
        <m:r>
          <m:t>λ</m:t>
        </m:r>
      </m:oMath>
      <w:r>
        <w:t xml:space="preserve">’s decreased right after the first phase in the 2-year (C2) and 3-year (C3) rotations, but increased in the first phase of the 4-year rotation (C4).</w:t>
      </w:r>
    </w:p>
    <w:bookmarkEnd w:id="20"/>
    <w:bookmarkStart w:id="21" w:name="scenario-2"/>
    <w:p>
      <w:pPr>
        <w:pStyle w:val="Heading3"/>
      </w:pPr>
      <w:r>
        <w:t xml:space="preserve">Scenario 2</w:t>
      </w:r>
    </w:p>
    <w:p>
      <w:pPr>
        <w:pStyle w:val="FirstParagraph"/>
      </w:pPr>
      <w:r>
        <w:rPr>
          <w:iCs/>
          <w:i/>
        </w:rPr>
        <w:t xml:space="preserve">In scenario 2, plant cohorts were assigned by their size, under the assumption that plant size decreases as emergence delays (Table).</w:t>
      </w:r>
      <w:r>
        <w:t xml:space="preserve"> </w:t>
      </w:r>
      <w:r>
        <w:t xml:space="preserve">Using 2018 fecundity rates, waterhemp population densities were increasing rapidly in all rotations, the fastest in the 2-year rotation (Figures</w:t>
      </w:r>
      <w:r>
        <w:t xml:space="preserve"> </w:t>
      </w:r>
      <w:r>
        <w:t xml:space="preserve">2</w:t>
      </w:r>
      <w:r>
        <w:t xml:space="preserve">). The population increase in the 3-year rotation under low herbicide corn weed management was similar to those of the 4-year rotation. Even though the populations were all increasing, the partition of seedbanks differed between rotations and consistent between two corn weed management regimes within the same rotation. In the 2-year rotation, a large portion of the seedbanks were at the 0-2 cm; in the 3-year rotation, the top and bottom soil strata were fairly evenly populated; and in the 4-year rotation, the majority of the seedbanks were at the bottom stratum.</w:t>
      </w:r>
    </w:p>
    <w:p>
      <w:pPr>
        <w:pStyle w:val="BodyText"/>
      </w:pPr>
      <w:r>
        <w:t xml:space="preserve">A noteworthy observation is that the oat phase in the 3-year rotation (O3) alfalfa phase in the 4-year rotation (A4) offered an opportunity for decreasing</w:t>
      </w:r>
      <w:r>
        <w:t xml:space="preserve"> </w:t>
      </w:r>
      <m:oMath>
        <m:r>
          <m:t>λ</m:t>
        </m:r>
      </m:oMath>
      <w:r>
        <w:t xml:space="preserve">, which was not possible in any other crop phases in the three examined rotations. However, the decline in</w:t>
      </w:r>
      <w:r>
        <w:t xml:space="preserve"> </w:t>
      </w:r>
      <m:oMath>
        <m:r>
          <m:t>λ</m:t>
        </m:r>
      </m:oMath>
      <w:r>
        <w:t xml:space="preserve"> </w:t>
      </w:r>
      <w:r>
        <w:t xml:space="preserve">in O3 (</w:t>
      </w:r>
      <m:oMath>
        <m:r>
          <m:t>λ</m:t>
        </m:r>
        <m:r>
          <m:rPr>
            <m:sty m:val="p"/>
          </m:rPr>
          <m:t>=</m:t>
        </m:r>
        <m:r>
          <m:t>0.68</m:t>
        </m:r>
      </m:oMath>
      <w:r>
        <w:t xml:space="preserve">) and A4 (</w:t>
      </w:r>
      <m:oMath>
        <m:r>
          <m:t>λ</m:t>
        </m:r>
        <m:r>
          <m:rPr>
            <m:sty m:val="p"/>
          </m:rPr>
          <m:t>=</m:t>
        </m:r>
        <m:r>
          <m:t>0.60</m:t>
        </m:r>
      </m:oMath>
      <w:r>
        <w:t xml:space="preserve">) were not strong enough to deplete the replenishment from the corn (</w:t>
      </w:r>
      <m:oMath>
        <m:r>
          <m:t>λ</m:t>
        </m:r>
        <m:d>
          <m:dPr>
            <m:begChr m:val="("/>
            <m:endChr m:val=")"/>
            <m:sepChr m:val=""/>
            <m:grow/>
          </m:dPr>
          <m:e>
            <m:r>
              <m:t>C</m:t>
            </m:r>
            <m:r>
              <m:t>3</m:t>
            </m:r>
            <m:r>
              <m:rPr>
                <m:sty m:val="p"/>
              </m:rPr>
              <m:t>,</m:t>
            </m:r>
            <m:r>
              <m:t>l</m:t>
            </m:r>
            <m:r>
              <m:t>o</m:t>
            </m:r>
            <m:r>
              <m:t>w</m:t>
            </m:r>
          </m:e>
        </m:d>
        <m:r>
          <m:rPr>
            <m:sty m:val="p"/>
          </m:rPr>
          <m:t>=</m:t>
        </m:r>
        <m:r>
          <m:t>2553</m:t>
        </m:r>
      </m:oMath>
      <w:r>
        <w:t xml:space="preserve"> </w:t>
      </w:r>
      <w:r>
        <w:t xml:space="preserve">and</w:t>
      </w:r>
      <w:r>
        <w:t xml:space="preserve"> </w:t>
      </w:r>
      <m:oMath>
        <m:r>
          <m:t>λ</m:t>
        </m:r>
        <m:d>
          <m:dPr>
            <m:begChr m:val="("/>
            <m:endChr m:val=")"/>
            <m:sepChr m:val=""/>
            <m:grow/>
          </m:dPr>
          <m:e>
            <m:r>
              <m:t>C</m:t>
            </m:r>
            <m:r>
              <m:t>4</m:t>
            </m:r>
            <m:r>
              <m:rPr>
                <m:sty m:val="p"/>
              </m:rPr>
              <m:t>,</m:t>
            </m:r>
            <m:r>
              <m:t>l</m:t>
            </m:r>
            <m:r>
              <m:t>o</m:t>
            </m:r>
            <m:r>
              <m:t>w</m:t>
            </m:r>
          </m:e>
        </m:d>
        <m:r>
          <m:rPr>
            <m:sty m:val="p"/>
          </m:rPr>
          <m:t>=</m:t>
        </m:r>
        <m:r>
          <m:t>35676.54</m:t>
        </m:r>
      </m:oMath>
      <w:r>
        <w:t xml:space="preserve">) and soybean (</w:t>
      </w:r>
      <m:oMath>
        <m:r>
          <m:t>λ</m:t>
        </m:r>
        <m:d>
          <m:dPr>
            <m:begChr m:val="("/>
            <m:endChr m:val=")"/>
            <m:sepChr m:val=""/>
            <m:grow/>
          </m:dPr>
          <m:e>
            <m:r>
              <m:t>S</m:t>
            </m:r>
            <m:r>
              <m:t>3</m:t>
            </m:r>
            <m:r>
              <m:rPr>
                <m:sty m:val="p"/>
              </m:rPr>
              <m:t>,</m:t>
            </m:r>
            <m:r>
              <m:t>l</m:t>
            </m:r>
            <m:r>
              <m:t>o</m:t>
            </m:r>
            <m:r>
              <m:t>w</m:t>
            </m:r>
          </m:e>
        </m:d>
        <m:r>
          <m:rPr>
            <m:sty m:val="p"/>
          </m:rPr>
          <m:t>=</m:t>
        </m:r>
        <m:r>
          <m:t>14567.90</m:t>
        </m:r>
      </m:oMath>
      <w:r>
        <w:t xml:space="preserve"> </w:t>
      </w:r>
      <w:r>
        <w:t xml:space="preserve">and</w:t>
      </w:r>
      <w:r>
        <w:t xml:space="preserve"> </w:t>
      </w:r>
      <m:oMath>
        <m:r>
          <m:t>λ</m:t>
        </m:r>
        <m:d>
          <m:dPr>
            <m:begChr m:val="("/>
            <m:endChr m:val=")"/>
            <m:sepChr m:val=""/>
            <m:grow/>
          </m:dPr>
          <m:e>
            <m:r>
              <m:t>S</m:t>
            </m:r>
            <m:r>
              <m:t>4</m:t>
            </m:r>
            <m:r>
              <m:rPr>
                <m:sty m:val="p"/>
              </m:rPr>
              <m:t>,</m:t>
            </m:r>
            <m:r>
              <m:t>l</m:t>
            </m:r>
            <m:r>
              <m:t>o</m:t>
            </m:r>
            <m:r>
              <m:t>w</m:t>
            </m:r>
          </m:e>
        </m:d>
        <m:r>
          <m:rPr>
            <m:sty m:val="p"/>
          </m:rPr>
          <m:t>=</m:t>
        </m:r>
        <m:r>
          <m:t>30.20</m:t>
        </m:r>
      </m:oMath>
      <w:r>
        <w:t xml:space="preserve">) phases. It would be useful to examine how many years of continuous overwinter cover crops is necessary and which cool-season crop species would be efficient in decreasing waterhemp</w:t>
      </w:r>
      <w:r>
        <w:t xml:space="preserve"> </w:t>
      </w:r>
      <m:oMath>
        <m:r>
          <m:t>λ</m:t>
        </m:r>
      </m:oMath>
      <w:r>
        <w:t xml:space="preserve"> </w:t>
      </w:r>
      <w:r>
        <w:t xml:space="preserve">after steady seedbank replenishment.</w:t>
      </w:r>
    </w:p>
    <w:bookmarkEnd w:id="21"/>
    <w:bookmarkEnd w:id="22"/>
    <w:bookmarkStart w:id="26" w:name="Xf5df142dff9b7c2f56340cdf78ee2c0bbaf8ab2"/>
    <w:p>
      <w:pPr>
        <w:pStyle w:val="Heading2"/>
      </w:pPr>
      <w:r>
        <w:t xml:space="preserve">Elasticities of popilation growth rates to lower-level demographic parameters</w:t>
      </w:r>
    </w:p>
    <w:bookmarkStart w:id="25" w:name="scenario-2-1"/>
    <w:p>
      <w:pPr>
        <w:pStyle w:val="Heading3"/>
      </w:pPr>
      <w:r>
        <w:t xml:space="preserve">Scenario 2</w:t>
      </w:r>
    </w:p>
    <w:p>
      <w:pPr>
        <w:pStyle w:val="FirstParagraph"/>
      </w:pPr>
      <w:r>
        <w:t xml:space="preserve">Elasticity of</w:t>
      </w:r>
      <w:r>
        <w:t xml:space="preserve"> </w:t>
      </w:r>
      <m:oMath>
        <m:r>
          <m:t>λ</m:t>
        </m:r>
      </m:oMath>
      <w:r>
        <w:t xml:space="preserve">’s to fecundity rates, as a group, were ranked first in all crop phases; but the specific influence of each cohort’s fecundity differed by crop phase. The elasticity of</w:t>
      </w:r>
      <w:r>
        <w:t xml:space="preserve"> </w:t>
      </w:r>
      <m:oMath>
        <m:r>
          <m:t>λ</m:t>
        </m:r>
      </m:oMath>
      <w:r>
        <w:t xml:space="preserve">’s elasticity to cohort one fecundity were the highest in 2-year rotation corn (C2), 3-year rotation soybean (S3), and 4-year rotation oat (O4) phases. The elasticity of</w:t>
      </w:r>
      <w:r>
        <w:t xml:space="preserve"> </w:t>
      </w:r>
      <m:oMath>
        <m:r>
          <m:t>λ</m:t>
        </m:r>
      </m:oMath>
      <w:r>
        <w:t xml:space="preserve">’s elasticity to cohort two fecundity were the highest in 2-year rotation soybean (S2), 3-year rotation corn (C3) and oat (O4), and 4-year rotation corn (C4), soybean (S4), and alfalfa (A4) phases. The second-ranked group of demographic parameters to</w:t>
      </w:r>
      <w:r>
        <w:t xml:space="preserve"> </w:t>
      </w:r>
      <m:oMath>
        <m:r>
          <m:t>λ</m:t>
        </m:r>
      </m:oMath>
      <w:r>
        <w:t xml:space="preserve"> </w:t>
      </w:r>
      <w:r>
        <w:t xml:space="preserve">differed by rotation and crop phase. In the 2-year rotation, the second-ranked group of parameters in contribution to elasticity of</w:t>
      </w:r>
      <w:r>
        <w:t xml:space="preserve"> </w:t>
      </w:r>
      <m:oMath>
        <m:r>
          <m:t>λ</m:t>
        </m:r>
      </m:oMath>
      <w:r>
        <w:t xml:space="preserve"> </w:t>
      </w:r>
      <w:r>
        <w:t xml:space="preserve">were both pre-planting tillage-induced seed movement and overwinter seed survival. In the 3-year rotation, the second-ranked group of parameters in contribution to elasticity of</w:t>
      </w:r>
      <w:r>
        <w:t xml:space="preserve"> </w:t>
      </w:r>
      <m:oMath>
        <m:r>
          <m:t>λ</m:t>
        </m:r>
      </m:oMath>
      <w:r>
        <w:t xml:space="preserve"> </w:t>
      </w:r>
      <w:r>
        <w:t xml:space="preserve">was pre-planting tillage-induced seed movement in the warm-season crop phases; and overwinter seed survival in the cool-season crop phase. In the 4-year rotation, the second-ranked group of parameters in contribution to elasticity of</w:t>
      </w:r>
      <w:r>
        <w:t xml:space="preserve"> </w:t>
      </w:r>
      <m:oMath>
        <m:r>
          <m:t>λ</m:t>
        </m:r>
      </m:oMath>
      <w:r>
        <w:t xml:space="preserve"> </w:t>
      </w:r>
      <w:r>
        <w:t xml:space="preserve">was overwinter seed survival in the cool-season crop phase; and pre-planting tillage-induced seed movement in the warm-season crop phases; a reverse trend as compared to the 3-year rotation’s dynamics.</w:t>
      </w:r>
    </w:p>
    <w:p>
      <w:pPr>
        <w:pStyle w:val="CaptionedFigure"/>
      </w:pPr>
      <w:r>
        <w:drawing>
          <wp:inline>
            <wp:extent cx="5334000" cy="8001000"/>
            <wp:effectExtent b="0" l="0" r="0" t="0"/>
            <wp:docPr descr="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results_files/figure-docx/scenario1-phase-wise-lambda-plot-1.png" id="0" name="Picture"/>
                    <pic:cNvPicPr>
                      <a:picLocks noChangeArrowheads="1" noChangeAspect="1"/>
                    </pic:cNvPicPr>
                  </pic:nvPicPr>
                  <pic:blipFill>
                    <a:blip r:embed="rId23"/>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1: Scenario1 -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1-sum(e)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wss_1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wss_2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st_ij: 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1-sum(e): 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sss_1 and sss_2: 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f_1 though f_6: 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ft_ij: 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wss_1 and wss_2: 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CaptionedFigure"/>
      </w:pPr>
      <w:r>
        <w:drawing>
          <wp:inline>
            <wp:extent cx="5334000" cy="8001000"/>
            <wp:effectExtent b="0" l="0" r="0" t="0"/>
            <wp:docPr descr="Figure 2: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itle="" id="1" name="Picture"/>
            <a:graphic>
              <a:graphicData uri="http://schemas.openxmlformats.org/drawingml/2006/picture">
                <pic:pic>
                  <pic:nvPicPr>
                    <pic:cNvPr descr="results_files/figure-docx/scenario2-phase-wise-lambda-plot-1.png" id="0" name="Picture"/>
                    <pic:cNvPicPr>
                      <a:picLocks noChangeArrowheads="1" noChangeAspect="1"/>
                    </pic:cNvPicPr>
                  </pic:nvPicPr>
                  <pic:blipFill>
                    <a:blip r:embed="rId24"/>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w:t>
      </w:r>
    </w:p>
    <w:p>
      <w:pPr>
        <w:pStyle w:val="TableCaption"/>
      </w:pPr>
      <w:r>
        <w:t xml:space="preserve">Table 2: Scenario 2 -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1-sum(e)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wss_1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wss_2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1,466.84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1,522.79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4,099,185,668.80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990,125,323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237,420,871.69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50,445,968.31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22,152,907.95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28,440,558.71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1,407.87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1,075.11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2,766,736,655.89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668,282,983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160,246,712.80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34,048,399.11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14,952,058.14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19,195,894.66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1,224.96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1,199.30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855.64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837.72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2,093,885,714.17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14,238,156,534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711,346,410.36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517,111,697.67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414,505,814.44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395,211,907.50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1,684.99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868.54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606.68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1,513.48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1,228,712,929.01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8,355,091,637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417,425,137.15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303,446,279.03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243,236,127.89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231,914,271.71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1,194.72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687.06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3,659.78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1,052.30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5,592,860,407.22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10,241,029,161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6,553,794,288.93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4,170,959,828.12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274,584,905.82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57,989,495.69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4,051.81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586.62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5,987.41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31,893.50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9,066.99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560,845,021.29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1,026,957,549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657,206,264.75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418,258,616.04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27,535,029.69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5,815,113.84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35,309.85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3,560.69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2,425.33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3,767.47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4,430,424,819.92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884,087,490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219,595,694.18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18,713,992.16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38,195,564.95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83,849,529.43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31,029.99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21,135.75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33,065.92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97,536,117,996.12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19,463,249,057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4,834,414,849.40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411,989,870.50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840,878,083.09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1,845,953,363.11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34,174,840.90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303,196,630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370,916.67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5,688,132.59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354,078.03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354,071.33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3,911.43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89.86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2,873,761.48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25,495,797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31,190.37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478,314.92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29,774.41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34,086.54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732,440,602.93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1,645,017,490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15,670,814.43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1,247,105,405.17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61,862,197.17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18,259,659.49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4,514,711,997.21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10,139,771,288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96,593,790.20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7,687,069,384.22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381,314,201.65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112,551,247.76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30,614,999.62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84,392,111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57,466,194.44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33,438,761.46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12,281,030.64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2,230,608.04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15,656.18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32,141,403.63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88,599,736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60,331,346.52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35,105,952.72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12,893,338.81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2,341,821.80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23,234.04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13,622.02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13,336.57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8,360,399.81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1,850,989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241,204.83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361,855.36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286.31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34.27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20,215.32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19,791.70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18,968.23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6,486,555.88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1,436,120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280,751.53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78.55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424.88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50.85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684.84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1,387,435.20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11,740,397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101,418.96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81,652.35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69,727.16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67,827.97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1,016.31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137.46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709.51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95.96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883.03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36,200.67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306,328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2,646.20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2,130.46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1,819.31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1,769.75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st_ij: 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1-sum(e): 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sss_1 and sss_2: 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f_1 though f_6: 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ft_ij: 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wss_1 and wss_2: 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bookmarkEnd w:id="25"/>
    <w:bookmarkEnd w:id="26"/>
    <w:bookmarkStart w:id="27" w:name="conclusion"/>
    <w:p>
      <w:pPr>
        <w:pStyle w:val="Heading2"/>
      </w:pPr>
      <w:r>
        <w:t xml:space="preserve">Conclusion</w:t>
      </w:r>
    </w:p>
    <w:p>
      <w:pPr>
        <w:pStyle w:val="FirstParagraph"/>
      </w:pPr>
      <w:r>
        <w:t xml:space="preserve">Regardless of the difference in waterhemp</w:t>
      </w:r>
      <w:r>
        <w:t xml:space="preserve"> </w:t>
      </w:r>
      <m:oMath>
        <m:r>
          <m:t>λ</m:t>
        </m:r>
      </m:oMath>
      <w:r>
        <w:t xml:space="preserve">, no crop yield decline was observed at the experiment site from 2017 through 2020</w:t>
      </w:r>
      <w:r>
        <w:t xml:space="preserve"> </w:t>
      </w:r>
      <w:r>
        <w:t xml:space="preserve">(</w:t>
      </w:r>
      <w:r>
        <w:rPr>
          <w:bCs/>
          <w:b/>
        </w:rPr>
        <w:t xml:space="preserve">nguyenWeedCommunityComposition2022?</w:t>
      </w:r>
      <w:r>
        <w:t xml:space="preserve">)</w:t>
      </w:r>
      <w:r>
        <w:t xml:space="preserve">.</w:t>
      </w:r>
    </w:p>
    <w:p>
      <w:pPr>
        <w:pStyle w:val="BodyText"/>
      </w:pPr>
      <w:r>
        <w:rPr>
          <w:iCs/>
          <w:i/>
        </w:rPr>
        <w:t xml:space="preserve">This observation is consistent with waterhemp’s ability to replenish a declining soil seedbank over several years with only one successful year reported by</w:t>
      </w:r>
      <w:r>
        <w:rPr>
          <w:iCs/>
          <w:i/>
        </w:rPr>
        <w:t xml:space="preserve"> </w:t>
      </w:r>
      <w:r>
        <w:rPr>
          <w:iCs/>
          <w:i/>
        </w:rPr>
        <w:t xml:space="preserve">(</w:t>
      </w:r>
      <w:r>
        <w:rPr>
          <w:bCs/>
          <w:b/>
          <w:iCs/>
          <w:i/>
        </w:rPr>
        <w:t xml:space="preserve">davisWeedSeedPools2008?</w:t>
      </w:r>
      <w:r>
        <w:rPr>
          <w:iCs/>
          <w:i/>
        </w:rPr>
        <w:t xml:space="preserve">)</w:t>
      </w:r>
      <w:r>
        <w:rPr>
          <w:iCs/>
          <w:i/>
        </w:rPr>
        <w:t xml:space="preserve">.</w:t>
      </w:r>
    </w:p>
    <w:bookmarkEnd w:id="27"/>
    <w:bookmarkStart w:id="28" w:name="X70605ca86167c1936613af23f23129048b5c914"/>
    <w:p>
      <w:pPr>
        <w:pStyle w:val="Heading2"/>
      </w:pPr>
      <w:r>
        <w:t xml:space="preserve">Sensitivities and elasticities of waterhemp population growth rate to projection matrices elements</w:t>
      </w:r>
    </w:p>
    <w:bookmarkEnd w:id="28"/>
    <w:bookmarkStart w:id="29" w:name="appendix"/>
    <w:p>
      <w:pPr>
        <w:pStyle w:val="Heading2"/>
      </w:pPr>
      <w:r>
        <w:t xml:space="preserve">Appendix</w:t>
      </w:r>
    </w:p>
    <w:bookmarkEnd w:id="29"/>
    <w:bookmarkStart w:id="33" w:name="reference"/>
    <w:p>
      <w:pPr>
        <w:pStyle w:val="Heading2"/>
      </w:pPr>
      <w:r>
        <w:t xml:space="preserve">Reference</w:t>
      </w:r>
    </w:p>
    <w:bookmarkStart w:id="32" w:name="refs"/>
    <w:bookmarkStart w:id="31" w:name="ref-nguyenImpactCroppingSystem2022"/>
    <w:p>
      <w:pPr>
        <w:pStyle w:val="Bibliography"/>
      </w:pPr>
      <w:r>
        <w:t xml:space="preserve">Nguyen, Huong T. X., and Matt Liebman. 2022.</w:t>
      </w:r>
      <w:r>
        <w:t xml:space="preserve"> </w:t>
      </w:r>
      <w:r>
        <w:t xml:space="preserve">“Impact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 </w:t>
      </w:r>
      <w:r>
        <w:t xml:space="preserve">4.</w:t>
      </w:r>
      <w:r>
        <w:t xml:space="preserve"> </w:t>
      </w:r>
      <w:hyperlink r:id="rId30">
        <w:r>
          <w:rPr>
            <w:rStyle w:val="Hyperlink"/>
          </w:rPr>
          <w:t xml:space="preserve">https://doi.org/10.3389/fagro.2022.811359</w:t>
        </w:r>
      </w:hyperlink>
      <w:r>
        <w:t xml:space="preserve">.</w:t>
      </w:r>
    </w:p>
    <w:bookmarkEnd w:id="31"/>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0" Target="https://doi.org/10.3389/fagro.2022.811359"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3389/fagro.2022.8113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2022-06-01T01:59:55Z</dcterms:created>
  <dcterms:modified xsi:type="dcterms:W3CDTF">2022-06-01T01:59:55Z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output">
    <vt:lpwstr/>
  </property>
</Properties>
</file>