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9.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In arable land, a low density seedbank is highly desired. A weed species’s eedbank persistence is often influenced by multiple factors, such as burial depth, tillage regime, and crop environment</w:t>
      </w:r>
      <w:r>
        <w:t xml:space="preserve"> </w:t>
      </w:r>
      <w:r>
        <w:t xml:space="preserve">(Steckel et al. 2007)</w:t>
      </w:r>
      <w:r>
        <w:t xml:space="preserve">. Common waterhemp (</w:t>
      </w:r>
      <w:r>
        <w:rPr>
          <w:iCs/>
          <w:i/>
        </w:rPr>
        <w:t xml:space="preserve">Amaranthus tuberculatus</w:t>
      </w:r>
      <w:r>
        <w:t xml:space="preserve"> </w:t>
      </w:r>
      <w:r>
        <w:t xml:space="preserve">(Moq.) J.D. Sauer) is an agronomically challenging weed species whose high fecundity, high relative growth rate and opportunistic emergence can help maintain an affluent seedbank</w:t>
      </w:r>
      <w:r>
        <w:t xml:space="preserve"> </w:t>
      </w:r>
      <w:r>
        <w:t xml:space="preserve">(Menalled et al. 2005; Adam S. Davis 2008; Bagavathiannan and Norsworthy 2013; Korres et al. 2018)</w:t>
      </w:r>
      <w:r>
        <w:t xml:space="preserve">.</w:t>
      </w:r>
    </w:p>
    <w:p>
      <w:pPr>
        <w:pStyle w:val="BodyText"/>
      </w:pPr>
      <w:r>
        <w:t xml:space="preserve">In order to increase labor use efficiency in waterhemp management, it is helpful to know possible choke points throughout waterhemp’s life cycle, where intervention can substantially reduce the population growth. Following the population in full life cycles in different crop environments can help identifies the choke points where management could be focused</w:t>
      </w:r>
      <w:r>
        <w:t xml:space="preserve"> </w:t>
      </w:r>
      <w:r>
        <w:t xml:space="preserve">(Caswell 2001)</w:t>
      </w:r>
      <w:r>
        <w:t xml:space="preserve">. Combining demographic parameters from multiple sources and organized them in different scenarios can provide a quick evaluation of population responses and inform researchers on where empirical measurement efforts should be focused.</w:t>
      </w:r>
    </w:p>
    <w:p>
      <w:pPr>
        <w:pStyle w:val="BodyText"/>
      </w:pPr>
      <w:r>
        <w:t xml:space="preserve">Interseeding red clover with wheat followed by spring tillage delayed and reduced seedling emergence as compared with three other interseeding and tillage timing combinations by fall tillage</w:t>
      </w:r>
      <w:r>
        <w:t xml:space="preserve"> </w:t>
      </w:r>
      <w:r>
        <w:t xml:space="preserve">(Adam S. Davis and Liebman 2003)</w:t>
      </w:r>
      <w:r>
        <w:t xml:space="preserve">. Our exhaustive search of the current literature does not return any information on waterhemp’s population dynamics in other cool-season crops so we attempted to empirically measure those. In addition, we measured how much time waterhemp emergence can be delayed in cool-season crops that can be planted overwinter or very early in spring to limit waterhemp’s exposure to sunlight when come the time of its emergence.</w:t>
      </w:r>
    </w:p>
    <w:p>
      <w:pPr>
        <w:pStyle w:val="BodyText"/>
      </w:pPr>
      <w:r>
        <w:t xml:space="preserve">Extending a conventional 2-year rotation of corn and soybean (two warm-season annual crops) to contain cool-season crops (oat, red clover, and alfalfa) effectively maintain weed community at a level of abundance that did not correlate with crop yield decline</w:t>
      </w:r>
      <w:r>
        <w:t xml:space="preserve"> </w:t>
      </w:r>
      <w:r>
        <w:t xml:space="preserve">(Nguyen and Liebman 2022b)</w:t>
      </w:r>
      <w:r>
        <w:t xml:space="preserve">. The effects of cropping system diversification on common waterhemp abundance was not clearly defined</w:t>
      </w:r>
      <w:r>
        <w:t xml:space="preserve"> </w:t>
      </w:r>
      <w:r>
        <w:t xml:space="preserve">(Nguyen and Liebman 2022b)</w:t>
      </w:r>
      <w:r>
        <w:t xml:space="preserve">, even though their reproductive potentials could be compromised without over-reliance on chemical herbicide</w:t>
      </w:r>
      <w:r>
        <w:t xml:space="preserve"> </w:t>
      </w:r>
      <w:r>
        <w:t xml:space="preserve">(Nguyen and Liebman 2022a)</w:t>
      </w:r>
      <w:r>
        <w:t xml:space="preserve">.</w:t>
      </w:r>
    </w:p>
    <w:p>
      <w:pPr>
        <w:pStyle w:val="BodyText"/>
      </w:pPr>
      <w:r>
        <w:t xml:space="preserve">A heuristic model for common waterhemp population dynamics in corn (</w:t>
      </w:r>
      <w:r>
        <w:rPr>
          <w:iCs/>
          <w:i/>
        </w:rPr>
        <w:t xml:space="preserve">Zea mays</w:t>
      </w:r>
      <w:r>
        <w:t xml:space="preserve"> </w:t>
      </w:r>
      <w:r>
        <w:t xml:space="preserve">L.) and soybean (</w:t>
      </w:r>
      <w:r>
        <w:rPr>
          <w:iCs/>
          <w:i/>
        </w:rPr>
        <w:t xml:space="preserve">Glycine max</w:t>
      </w:r>
      <w:r>
        <w:t xml:space="preserve"> </w:t>
      </w:r>
      <w:r>
        <w:t xml:space="preserve">(L.) Merr.) with or without rye (</w:t>
      </w:r>
      <w:r>
        <w:rPr>
          <w:iCs/>
          <w:i/>
        </w:rPr>
        <w:t xml:space="preserve">Secale cereale</w:t>
      </w:r>
      <w:r>
        <w:t xml:space="preserve"> </w:t>
      </w:r>
      <w:r>
        <w:t xml:space="preserve">L.) cover crop in between corn and soybean phases concluded that rye cover crop could provide minimal suppression against common waterhemp abundance. Prospective analysis using a population matrix approach can be used to examine how a population would change over a period given the input parameters, but without extensive field trials</w:t>
      </w:r>
      <w:r>
        <w:t xml:space="preserve"> </w:t>
      </w:r>
      <w:r>
        <w:t xml:space="preserve">(Ullrich 2000; Caswell 2001; Adam Samuel Davis 2002)</w:t>
      </w:r>
      <w:r>
        <w:t xml:space="preserve">. In addition, retrospective perturbation analysis can be used to examine how a population would change if changes occurred at different points throughout the species’ life cycle.</w:t>
      </w:r>
    </w:p>
    <w:p>
      <w:pPr>
        <w:pStyle w:val="BodyText"/>
      </w:pPr>
      <w:r>
        <w:t xml:space="preserve">A periodic matrix model</w:t>
      </w:r>
      <w:r>
        <w:t xml:space="preserve"> </w:t>
      </w:r>
      <w:r>
        <w:t xml:space="preserve">(Caswell 2001; Roger Cousens and Mortimer 1995)</w:t>
      </w:r>
      <w:r>
        <w:t xml:space="preserve"> </w:t>
      </w:r>
      <w:r>
        <w:t xml:space="preserve">was used to study waterhemp population dynamics because periodic matrices accommodate the examination of the effect of various events, i.e., crop management activities, that occur throughout the life cycle of waterhemp on the population change rate,</w:t>
      </w:r>
      <w:r>
        <w:t xml:space="preserve"> </w:t>
      </w:r>
      <m:oMath>
        <m:r>
          <m:t>λ</m:t>
        </m:r>
      </m:oMath>
      <w:r>
        <w:t xml:space="preserve">. We used the general equation of</w:t>
      </w:r>
      <w:r>
        <w:t xml:space="preserve"> </w:t>
      </w:r>
      <m:oMath>
        <m:sSub>
          <m:e>
            <m:r>
              <m:t>N</m:t>
            </m:r>
          </m:e>
          <m:sub>
            <m:r>
              <m:t>h</m:t>
            </m:r>
            <m:r>
              <m:rPr>
                <m:sty m:val="p"/>
              </m:rPr>
              <m:t>+</m:t>
            </m:r>
            <m:r>
              <m:t>1</m:t>
            </m:r>
          </m:sub>
        </m:sSub>
        <m:r>
          <m:rPr>
            <m:sty m:val="p"/>
          </m:rPr>
          <m:t>=</m:t>
        </m:r>
        <m:r>
          <m:t>A</m:t>
        </m:r>
        <m:sSub>
          <m:e>
            <m:r>
              <m:t>N</m:t>
            </m:r>
          </m:e>
          <m:sub>
            <m:r>
              <m:t>h</m:t>
            </m:r>
          </m:sub>
        </m:sSub>
      </m:oMath>
      <w:r>
        <w:t xml:space="preserve"> </w:t>
      </w:r>
      <w:r>
        <w:t xml:space="preserve">(Caswell 2001)</w:t>
      </w:r>
      <w:r>
        <w:t xml:space="preserve"> </w:t>
      </w:r>
      <w:r>
        <w:t xml:space="preserve">to study population change,</w:t>
      </w:r>
      <w:r>
        <w:t xml:space="preserve"> </w:t>
      </w:r>
      <m:oMath>
        <m:r>
          <m:t>λ</m:t>
        </m:r>
      </m:oMath>
      <w:r>
        <w:t xml:space="preserve"> </w:t>
      </w:r>
      <w:r>
        <w:t xml:space="preserve">from one period to another. The waterhemp populations in this study were depth-structured for the soil seedbank and cohort-structured for plants to accommodate the variation in seed survival</w:t>
      </w:r>
      <w:r>
        <w:t xml:space="preserve"> </w:t>
      </w:r>
      <w:r>
        <w:t xml:space="preserve">(Yenish, Doll, and Buhler 1992; Buhler and Hartzler 2001)</w:t>
      </w:r>
      <w:r>
        <w:t xml:space="preserve"> </w:t>
      </w:r>
      <w:r>
        <w:t xml:space="preserve">and emergence rates</w:t>
      </w:r>
      <w:r>
        <w:t xml:space="preserve"> </w:t>
      </w:r>
      <w:r>
        <w:t xml:space="preserve">(Werle et al. 2014)</w:t>
      </w:r>
      <w:r>
        <w:t xml:space="preserve"> </w:t>
      </w:r>
      <w:r>
        <w:t xml:space="preserve">at different depths, plant survival rates</w:t>
      </w:r>
      <w:r>
        <w:t xml:space="preserve"> </w:t>
      </w:r>
      <w:r>
        <w:t xml:space="preserve">(Hartzler, Battles, and Nordby 2004; Nordby and Hartzler 2004)</w:t>
      </w:r>
      <w:r>
        <w:t xml:space="preserve">, plant size, and fecundity of different cohorts</w:t>
      </w:r>
      <w:r>
        <w:t xml:space="preserve"> </w:t>
      </w:r>
      <w:r>
        <w:t xml:space="preserve">(Hartzler, Battles, and Nordby 2004; Nordby and Hartzler 2004)</w:t>
      </w:r>
      <w:r>
        <w:t xml:space="preserve">.</w:t>
      </w:r>
    </w:p>
    <w:p>
      <w:pPr>
        <w:pStyle w:val="BodyText"/>
      </w:pPr>
      <w:r>
        <w:t xml:space="preserve">Elasticity analysis, which provides a closer look at how changes in</w:t>
      </w:r>
      <w:r>
        <w:t xml:space="preserve"> </w:t>
      </w:r>
      <m:oMath>
        <m:r>
          <m:t>λ</m:t>
        </m:r>
      </m:oMath>
      <w:r>
        <w:t xml:space="preserve">,</w:t>
      </w:r>
      <w:r>
        <w:t xml:space="preserve"> </w:t>
      </w:r>
      <m:oMath>
        <m:r>
          <m:t>Δ</m:t>
        </m:r>
        <m:r>
          <m:t>λ</m:t>
        </m:r>
      </m:oMath>
      <w:r>
        <w:t xml:space="preserve"> </w:t>
      </w:r>
      <w:r>
        <w:t xml:space="preserve">would response to proportional perturbations in the lower-level demographic parameters (represents the sub-annual responses of the population to weed management practices) can help evaluating</w:t>
      </w:r>
      <w:r>
        <w:t xml:space="preserve"> </w:t>
      </w:r>
      <m:oMath>
        <m:r>
          <m:t>Δ</m:t>
        </m:r>
        <m:r>
          <m:t>λ</m:t>
        </m:r>
      </m:oMath>
      <w:r>
        <w:t xml:space="preserve"> </w:t>
      </w:r>
      <w:r>
        <w:t xml:space="preserve">to each sub-annual intervention. In addition, since elasticity analysis involves each element</w:t>
      </w:r>
      <w:r>
        <w:t xml:space="preserve"> </w:t>
      </w:r>
      <m:oMath>
        <m:sSub>
          <m:e>
            <m:r>
              <m:t>a</m:t>
            </m:r>
          </m:e>
          <m:sub>
            <m:r>
              <m:t>i</m:t>
            </m:r>
            <m:r>
              <m:t>j</m:t>
            </m:r>
          </m:sub>
        </m:sSub>
      </m:oMath>
      <w:r>
        <w:t xml:space="preserve"> </w:t>
      </w:r>
      <w:r>
        <w:t xml:space="preserve">of matrix</w:t>
      </w:r>
      <w:r>
        <w:t xml:space="preserve"> </w:t>
      </w:r>
      <m:oMath>
        <m:r>
          <m:t>A</m:t>
        </m:r>
      </m:oMath>
      <w:r>
        <w:t xml:space="preserve">, it is more convenient than sensitivity analysis in identifying the contribution of each</w:t>
      </w:r>
      <w:r>
        <w:t xml:space="preserve"> </w:t>
      </w:r>
      <m:oMath>
        <m:sSub>
          <m:e>
            <m:r>
              <m:t>a</m:t>
            </m:r>
          </m:e>
          <m:sub>
            <m:r>
              <m:t>i</m:t>
            </m:r>
            <m:r>
              <m:t>j</m:t>
            </m:r>
          </m:sub>
        </m:sSub>
      </m:oMath>
      <w:r>
        <w:t xml:space="preserve"> </w:t>
      </w:r>
      <w:r>
        <w:t xml:space="preserve">to</w:t>
      </w:r>
      <w:r>
        <w:t xml:space="preserve"> </w:t>
      </w:r>
      <m:oMath>
        <m:r>
          <m:t>Δ</m:t>
        </m:r>
        <m:r>
          <m:t>λ</m:t>
        </m:r>
      </m:oMath>
      <w:r>
        <w:t xml:space="preserve">. Sensitivity analysis only reveals</w:t>
      </w:r>
      <w:r>
        <w:t xml:space="preserve"> </w:t>
      </w:r>
      <m:oMath>
        <m:r>
          <m:t>λ</m:t>
        </m:r>
      </m:oMath>
      <w:r>
        <w:t xml:space="preserve">’s response to each sub-annual transition matrix,</w:t>
      </w:r>
      <w:r>
        <w:t xml:space="preserve"> </w:t>
      </w:r>
      <m:oMath>
        <m:sSub>
          <m:e>
            <m:r>
              <m:t>B</m:t>
            </m:r>
          </m:e>
          <m:sub>
            <m:r>
              <m:t>h</m:t>
            </m:r>
          </m:sub>
        </m:sSub>
      </m:oMath>
      <w:r>
        <w:t xml:space="preserve">, so whenever a</w:t>
      </w:r>
      <w:r>
        <w:t xml:space="preserve"> </w:t>
      </w:r>
      <m:oMath>
        <m:sSub>
          <m:e>
            <m:r>
              <m:t>B</m:t>
            </m:r>
          </m:e>
          <m:sub>
            <m:r>
              <m:t>h</m:t>
            </m:r>
          </m:sub>
        </m:sSub>
      </m:oMath>
      <w:r>
        <w:t xml:space="preserve"> </w:t>
      </w:r>
      <w:r>
        <w:t xml:space="preserve">involves more than one non-zero element, it is impossible to evaluate the individual contribution to</w:t>
      </w:r>
      <w:r>
        <w:t xml:space="preserve"> </w:t>
      </w:r>
      <m:oMath>
        <m:r>
          <m:t>Δ</m:t>
        </m:r>
        <m:r>
          <m:t>λ</m:t>
        </m:r>
      </m:oMath>
      <w:r>
        <w:t xml:space="preserve">.</w:t>
      </w:r>
    </w:p>
    <w:p>
      <w:pPr>
        <w:pStyle w:val="BodyText"/>
      </w:pPr>
      <w:r>
        <w:t xml:space="preserve">This study was pursued to examine how waterhemp population might changes in cool-season crops suitable for the Midwestern US climates, such as oat and red clover or oat and alfalfa intercrops, and alfalfa sole crop. The modeling exercise presented here combines demographic parameters from the literature and empirical experiment. We hypothesized that extending a conventional 2-year rotation of corn and soybean with cool-season crops can accelerate soil seedbank depletion.</w:t>
      </w:r>
    </w:p>
    <w:bookmarkEnd w:id="20"/>
    <w:bookmarkStart w:id="46" w:name="materials-and-methods"/>
    <w:p>
      <w:pPr>
        <w:pStyle w:val="Heading1"/>
      </w:pPr>
      <w:r>
        <w:t xml:space="preserve">Materials and methods</w:t>
      </w:r>
    </w:p>
    <w:bookmarkStart w:id="24" w:name="experiment-design"/>
    <w:p>
      <w:pPr>
        <w:pStyle w:val="Heading3"/>
      </w:pPr>
      <w:r>
        <w:t xml:space="preserve">Experiment design</w:t>
      </w:r>
    </w:p>
    <w:p>
      <w:pPr>
        <w:pStyle w:val="FirstParagraph"/>
      </w:pPr>
      <w:r>
        <w:t xml:space="preserve">To study how common waterhemp’s demography differ in three cropping systems suitable for the Midwestern USA, a factorial design of four replications with main-plot effect (crop identity as the combination of crop species name and rotation system) and split-plot effect (corn weed management herbicide regime) was conducted at Iowa State University Agronomy Research Farm. The rotation systems used in this present study includes 2-year (corn - soybean), 3-year [corn - soybean - oat (</w:t>
      </w:r>
      <w:r>
        <w:rPr>
          <w:iCs/>
          <w:i/>
        </w:rPr>
        <w:t xml:space="preserve">Avena sativa</w:t>
      </w:r>
      <w:r>
        <w:t xml:space="preserve"> </w:t>
      </w:r>
      <w:r>
        <w:t xml:space="preserve">L.)] intercropped with red clover (</w:t>
      </w:r>
      <w:r>
        <w:rPr>
          <w:iCs/>
          <w:i/>
        </w:rPr>
        <w:t xml:space="preserve">Trifolium pratense</w:t>
      </w:r>
      <w:r>
        <w:t xml:space="preserve"> </w:t>
      </w:r>
      <w:r>
        <w:t xml:space="preserve">L.)), and 4-year [corn - soybean - oat intercropped with alfalfa (</w:t>
      </w:r>
      <w:r>
        <w:rPr>
          <w:iCs/>
          <w:i/>
        </w:rPr>
        <w:t xml:space="preserve">Medicago sativa</w:t>
      </w:r>
      <w:r>
        <w:t xml:space="preserve"> </w:t>
      </w:r>
      <w:r>
        <w:t xml:space="preserve">L.) - alfalfa].</w:t>
      </w:r>
    </w:p>
    <w:p>
      <w:pPr>
        <w:pStyle w:val="BodyText"/>
      </w:pPr>
      <w:r>
        <w:t xml:space="preserve">The general experiment design and diagram were provided in</w:t>
      </w:r>
      <w:r>
        <w:t xml:space="preserve"> </w:t>
      </w:r>
      <w:r>
        <w:t xml:space="preserve">(Nguyen and Liebman 2022a)</w:t>
      </w:r>
      <w:r>
        <w:t xml:space="preserve">, but an updated diagram (Figure</w:t>
      </w:r>
      <w:r>
        <w:t xml:space="preserve"> </w:t>
      </w:r>
      <w:r>
        <w:t xml:space="preserve">1</w:t>
      </w:r>
      <w:r>
        <w:t xml:space="preserve">) is provided to include tillage regimes. Contrasting herbicide regimes have been used for both corn and soybean at the experiment site from 2008 through 2020 and soybean plots were managed by conventional herbicide starting in 2017, and thus, the data was collected by each experimental unit (eu) to accommodate the different weed management program in the corn phase of all crop rotations.</w:t>
      </w:r>
    </w:p>
    <w:p>
      <w:pPr>
        <w:pStyle w:val="BodyText"/>
      </w:pPr>
      <w:r>
        <w:t xml:space="preserve">Figure 1: Conceptual diagram of the three rotation systems compared within the experiment. A cycle of four calendar years is shown. Tillage regimes were symbolized with arrows: light, black ahead of crop sowing for field cultivator, medium, blue and bold orange after crop harvest for chisel and moldboard plough, respectively. Crops are color-coded and displayed for the approximate months that they were present. Emergence and establishment of common waterhemp plants are illustrated with black symbols. Grey plants shown in oat or alfalfa’s first year were physically controlled by crop harvest operations. Grey plants shown in alfalfa’s second year were physically suppressed three to four times by hay harvest. Alfalfa’s hay was harvested when approximately 5% of the plants flowered. Red clover in O3, and A4 were terminated in the winter before growing corn in the following year, so the dark green bar in the 3-year represents volunteer red clover and the light green bar in the 4-year rotation represents the living alfalfa residue in C4.</w:t>
      </w:r>
      <w:r>
        <w:t xml:space="preserve"> </w:t>
      </w:r>
      <w:r>
        <w:t xml:space="preserve">### Data collection and analysis {-}</w:t>
      </w:r>
    </w:p>
    <w:p>
      <w:pPr>
        <w:pStyle w:val="BodyText"/>
      </w:pPr>
      <w:r>
        <w:t xml:space="preserve">The current demographic details here are presented for female only. All the plant characteristics were reported for each cohort.</w:t>
      </w:r>
    </w:p>
    <w:bookmarkStart w:id="21" w:name="Xa1c85300dfe06e14afaf988e432713c859ec4d5"/>
    <w:p>
      <w:pPr>
        <w:pStyle w:val="Heading4"/>
      </w:pPr>
      <w:r>
        <w:t xml:space="preserve">Seed densities and seed fates in the soil seedbank</w:t>
      </w:r>
    </w:p>
    <w:p>
      <w:pPr>
        <w:pStyle w:val="FirstParagraph"/>
      </w:pPr>
      <w:r>
        <w:t xml:space="preserve">Nine groups of four soil cores arranged in a 3 x 3 grid were collected in 2019 from each experimental unital (eu). Each soil core was cut into two sections, the top 2 cm and the bottom 18 cm. All the 0-2 cm sections in each (eu) were packed separately from all the 2-20 sections, so each eu yield two data points. Proportions of seeds that are dormant, readily germinable, and dead were evaluated with a germination test. Seeds were separated from the soil materials and plant residues with an elutriation and floatation process. Clean seeds were placed on germination paper imbibed with distilled water in Petri dishes and incubated in 28/18 degree Celsius light/dark - 18/8 hour night/day for five days. Proportions of seeds that are dormant, readily germinable, and dead were recorded: germinated as readily germinable, firm, unyielding to forceps as dormant, and yielding to forceps as dead</w:t>
      </w:r>
      <w:r>
        <w:t xml:space="preserve"> </w:t>
      </w:r>
      <w:r>
        <w:t xml:space="preserve">(Borza, Westerman, and Liebman 2007)</w:t>
      </w:r>
      <w:r>
        <w:t xml:space="preserve">. Readily germinable and dormant seeds were grouped as viable and used to calculate emergence proportion (details in</w:t>
      </w:r>
      <w:r>
        <w:t xml:space="preserve"> </w:t>
      </w:r>
      <w:r>
        <w:rPr>
          <w:iCs/>
          <w:i/>
        </w:rPr>
        <w:t xml:space="preserve">Parameterization</w:t>
      </w:r>
      <w:r>
        <w:t xml:space="preserve">).</w:t>
      </w:r>
    </w:p>
    <w:bookmarkEnd w:id="21"/>
    <w:bookmarkStart w:id="22" w:name="emergence-pattern-timing"/>
    <w:p>
      <w:pPr>
        <w:pStyle w:val="Heading4"/>
      </w:pPr>
      <w:r>
        <w:t xml:space="preserve">Emergence pattern timing</w:t>
      </w:r>
    </w:p>
    <w:p>
      <w:pPr>
        <w:pStyle w:val="FirstParagraph"/>
      </w:pPr>
      <w:r>
        <w:t xml:space="preserve">In 2019 field season, non-destructive emergence survey was recorded once every two to three weeks (weather permitting) in eight quadrats per eu. Seedlings were marked with color-coded toothpicks for cohort identification. Within an eu, seedlings that were in the same cohort were marked with the same toothpick color. Six cohorts of plants were followed from seedling to senescence.</w:t>
      </w:r>
    </w:p>
    <w:p>
      <w:pPr>
        <w:pStyle w:val="BodyText"/>
      </w:pPr>
      <w:r>
        <w:t xml:space="preserve">In 2020 field season, destructive emergence survey was recorded in eight quadrats per eu. Seedlings were clipped at the base of the plant without disturbing the soil. With the intention to evaluate the proportion of seed germinated from the top 2 cm layer of the soil, eight to ten cohorts (depending on the crop environments) were recorded.</w:t>
      </w:r>
    </w:p>
    <w:p>
      <w:pPr>
        <w:pStyle w:val="BodyText"/>
      </w:pPr>
      <w:r>
        <w:t xml:space="preserve">The number of seedlings at each cohort was converted to densities (seedlings/m</w:t>
      </w:r>
      <m:oMath>
        <m:sSup>
          <m:e>
            <m:r>
              <m:t>​</m:t>
            </m:r>
          </m:e>
          <m:sup>
            <m:r>
              <m:t>2</m:t>
            </m:r>
          </m:sup>
        </m:sSup>
      </m:oMath>
      <w:r>
        <w:t xml:space="preserve">). The dates of first emergence detection in each crop identity were noted.</w:t>
      </w:r>
    </w:p>
    <w:bookmarkEnd w:id="22"/>
    <w:bookmarkStart w:id="23" w:name="Xec1ca302539727adf735d520d08ea70dc2deeb1"/>
    <w:p>
      <w:pPr>
        <w:pStyle w:val="Heading4"/>
      </w:pPr>
      <w:r>
        <w:t xml:space="preserve">Statistical analysis of the measured parameters</w:t>
      </w:r>
    </w:p>
    <w:p>
      <w:pPr>
        <w:pStyle w:val="FirstParagraph"/>
      </w:pPr>
      <w:r>
        <w:t xml:space="preserve">All the response variables were analyzed with two-factorial mix-effect models with crop identity (crop species in each rotation) being the main-plot effect and corn-weed management being the split-plot effect. The response variables were transformed as needed to correct heterocedasticity. The effects of crop identity and corn weed management on each of the response variable by each cohort was analyzed with the following general model.</w:t>
      </w:r>
    </w:p>
    <w:p>
      <w:pPr>
        <w:pStyle w:val="BodyText"/>
      </w:pPr>
      <m:oMathPara>
        <m:oMathParaPr>
          <m:jc m:val="center"/>
        </m:oMathParaPr>
        <m:oMath>
          <m:r>
            <m:t>R</m:t>
          </m:r>
          <m:r>
            <m:rPr>
              <m:sty m:val="p"/>
            </m:rPr>
            <m:t>=</m:t>
          </m:r>
          <m:r>
            <m:t>μ</m:t>
          </m:r>
          <m:r>
            <m:rPr>
              <m:sty m:val="p"/>
            </m:rPr>
            <m:t>+</m:t>
          </m:r>
          <m:sSub>
            <m:e>
              <m:r>
                <m:t>B</m:t>
              </m:r>
            </m:e>
            <m:sub>
              <m:r>
                <m:t>i</m:t>
              </m:r>
            </m:sub>
          </m:sSub>
          <m:r>
            <m:rPr>
              <m:sty m:val="p"/>
            </m:rPr>
            <m:t>+</m:t>
          </m:r>
          <m:sSub>
            <m:e>
              <m:r>
                <m:t>C</m:t>
              </m:r>
            </m:e>
            <m:sub>
              <m:r>
                <m:t>j</m:t>
              </m:r>
            </m:sub>
          </m:sSub>
          <m:r>
            <m:rPr>
              <m:sty m:val="p"/>
            </m:rPr>
            <m:t>+</m:t>
          </m:r>
          <m:sSub>
            <m:e>
              <m:r>
                <m:t>H</m:t>
              </m:r>
            </m:e>
            <m:sub>
              <m:r>
                <m:t>k</m:t>
              </m:r>
            </m:sub>
          </m:sSub>
          <m:r>
            <m:rPr>
              <m:sty m:val="p"/>
            </m:rPr>
            <m:t>+</m:t>
          </m:r>
          <m:r>
            <m:t>C</m:t>
          </m:r>
          <m:sSub>
            <m:e>
              <m:r>
                <m:t>H</m:t>
              </m:r>
            </m:e>
            <m:sub>
              <m:r>
                <m:t>j</m:t>
              </m:r>
              <m:r>
                <m:t>k</m:t>
              </m:r>
            </m:sub>
          </m:sSub>
          <m:r>
            <m:rPr>
              <m:sty m:val="p"/>
            </m:rPr>
            <m:t>+</m:t>
          </m:r>
          <m:sSub>
            <m:e>
              <m:r>
                <m:t>G</m:t>
              </m:r>
            </m:e>
            <m:sub>
              <m:r>
                <m:t>l</m:t>
              </m:r>
            </m:sub>
          </m:sSub>
          <m:r>
            <m:rPr>
              <m:sty m:val="p"/>
            </m:rPr>
            <m:t>+</m:t>
          </m:r>
          <m:r>
            <m:t>C</m:t>
          </m:r>
          <m:sSub>
            <m:e>
              <m:r>
                <m:t>G</m:t>
              </m:r>
            </m:e>
            <m:sub>
              <m:r>
                <m:t>j</m:t>
              </m:r>
              <m:r>
                <m:t>l</m:t>
              </m:r>
            </m:sub>
          </m:sSub>
          <m:r>
            <m:rPr>
              <m:sty m:val="p"/>
            </m:rPr>
            <m:t>+</m:t>
          </m:r>
          <m:r>
            <m:t>H</m:t>
          </m:r>
          <m:sSub>
            <m:e>
              <m:r>
                <m:t>G</m:t>
              </m:r>
            </m:e>
            <m:sub>
              <m:r>
                <m:t>k</m:t>
              </m:r>
              <m:r>
                <m:t>l</m:t>
              </m:r>
            </m:sub>
          </m:sSub>
          <m:r>
            <m:rPr>
              <m:sty m:val="p"/>
            </m:rPr>
            <m:t>+</m:t>
          </m:r>
          <m:sSub>
            <m:e>
              <m:r>
                <m:t>ϵ</m:t>
              </m:r>
            </m:e>
            <m:sub>
              <m:r>
                <m:t>i</m:t>
              </m:r>
              <m:r>
                <m:t>j</m:t>
              </m:r>
              <m:r>
                <m:t>k</m:t>
              </m:r>
            </m:sub>
          </m:sSub>
        </m:oMath>
      </m:oMathPara>
    </w:p>
    <w:p>
      <w:pPr>
        <w:pStyle w:val="FirstParagraph"/>
      </w:pPr>
      <w:r>
        <w:t xml:space="preserve">where,</w:t>
      </w:r>
    </w:p>
    <w:p>
      <w:pPr>
        <w:pStyle w:val="BodyText"/>
      </w:pPr>
      <w:r>
        <w:t xml:space="preserve">R is the response variable, i.e., seed density at 0-2 cm or 2-20 soil stratum, the first date of seedling emergence, and the proportion of survived plant at maturity,</w:t>
      </w:r>
      <w:r>
        <w:br/>
      </w:r>
      <m:oMath>
        <m:r>
          <m:t>μ</m:t>
        </m:r>
      </m:oMath>
      <w:r>
        <w:t xml:space="preserve"> </w:t>
      </w:r>
      <w:r>
        <w:t xml:space="preserve">is the overall mean,</w:t>
      </w:r>
      <w:r>
        <w:br/>
      </w:r>
      <w:r>
        <w:t xml:space="preserve">B is the block,</w:t>
      </w:r>
      <w:r>
        <w:t xml:space="preserve"> </w:t>
      </w:r>
      <w:r>
        <w:t xml:space="preserve">C is the crop identity,</w:t>
      </w:r>
      <w:r>
        <w:t xml:space="preserve"> </w:t>
      </w:r>
      <w:r>
        <w:t xml:space="preserve">H is the corn weed management regime,</w:t>
      </w:r>
      <w:r>
        <w:br/>
      </w:r>
      <w:r>
        <w:t xml:space="preserve">CH is the interaction between crop identity and corn weed management regime,</w:t>
      </w:r>
      <w:r>
        <w:br/>
      </w:r>
      <w:r>
        <w:t xml:space="preserve">G is the cohort identification,</w:t>
      </w:r>
      <w:r>
        <w:br/>
      </w:r>
      <w:r>
        <w:t xml:space="preserve">CG is the interaction between crop identity and cohort,</w:t>
      </w:r>
      <w:r>
        <w:br/>
      </w:r>
      <w:r>
        <w:t xml:space="preserve">HG is the interaction between corn weed management regime and cohort, and</w:t>
      </w:r>
      <w:r>
        <w:br/>
      </w:r>
      <m:oMath>
        <m:r>
          <m:t>ϵ</m:t>
        </m:r>
      </m:oMath>
      <w:r>
        <w:t xml:space="preserve"> </w:t>
      </w:r>
      <w:r>
        <w:t xml:space="preserve">is the residual.</w:t>
      </w:r>
    </w:p>
    <w:bookmarkEnd w:id="23"/>
    <w:bookmarkEnd w:id="24"/>
    <w:bookmarkStart w:id="25" w:name="model-assumptions"/>
    <w:p>
      <w:pPr>
        <w:pStyle w:val="Heading3"/>
      </w:pPr>
      <w:r>
        <w:t xml:space="preserve">Model assumptions</w:t>
      </w:r>
    </w:p>
    <w:p>
      <w:pPr>
        <w:pStyle w:val="FirstParagraph"/>
      </w:pPr>
      <w:r>
        <w:t xml:space="preserve">The assumptions used in the modeling exercise in this manuscript are listed in Table</w:t>
      </w:r>
      <w:r>
        <w:t xml:space="preserve"> </w:t>
      </w:r>
      <w:r>
        <w:t xml:space="preserve">1</w:t>
      </w:r>
      <w:r>
        <w:t xml:space="preserve">.</w:t>
      </w:r>
    </w:p>
    <w:p>
      <w:pPr>
        <w:pStyle w:val="TableCaption"/>
      </w:pPr>
      <w:r>
        <w:t xml:space="preserve">Table 1: Female-only population dynamics model assumptions for common waterhemp (</w:t>
      </w:r>
      <w:r>
        <w:rPr>
          <w:iCs/>
          <w:i/>
        </w:rPr>
        <w:t xml:space="preserve">Amaranthus tuberculatus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4"/>
        <w:gridCol w:w="12101"/>
        <w:gridCol w:w="28144"/>
      </w:tblGrid>
      <w:tr>
        <w:trPr>
          <w:cantSplit/>
          <w:trHeight w:val="62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Assumption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References.or.justification</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 is stable throughout the life cycle.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Montgomery et al., 2019; 2021</w:t>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growth rate across individuals of the same size and shape under the same treatments (crop x rotation x herbicide)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Chapter 8, Caswell, 2001</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germination probability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evidence of sexually differentiated seed germination probability</w:t>
            </w:r>
          </w:p>
        </w:tc>
      </w:tr>
      <w:tr>
        <w:trPr>
          <w:cantSplit/>
          <w:trHeight w:val="605"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sex ratio is 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Costea et al., 2005</w:t>
            </w:r>
          </w:p>
        </w:tc>
      </w:tr>
      <w:tr>
        <w:trPr>
          <w:cantSplit/>
          <w:trHeight w:val="61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 is determined at seed formation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Montgomery et al., 2019; 2021</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Seeds only emerge from the 0-2cm soil stratum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collectively from the recommended sowing depth of 1-3 times the seed diameter (Chapter 3, FAO 1989) and AMATA seed size of 1 mm or less in diameter (Costea et al., 2005).</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Germination is fatal from the 2-20 cm soil stratum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collectively from the recommended sowing depth of 1-3 times the seed diameter (Chapter 3, FAO 1989) and AMATA seed size of 1 mm or less in diameter (Costea et al., 2005).</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decay rate in the soil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evidence of sexually differentiated seed decay rates</w:t>
            </w:r>
          </w:p>
        </w:tc>
      </w:tr>
      <w:tr>
        <w:trPr>
          <w:cantSplit/>
          <w:trHeight w:val="616"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decay rate across all burial depths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Buhler et al., 2001 and  Steckel et al., 2007</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palatability to granivores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evidence of sexually differentiated palatability</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Granivore activities are an important threat.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van der Laat et al., 2015</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Young plant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Female plants are more likely to survive under stressful conditions than male plants.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collectively from the general 1:1 sex ratio (Costea et al., 2005) and differentiated sex ratio at maturity across weed management systems at the experiment site in 2018.</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Crops are the main competitors for resources.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Nutrient run-off is a persistent problem in industrial agriculture, meaning the available nutrient exceeds all plants, including weeds' needs</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Competition with other weeds is negligible.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Waterhemp is one of the most competive weed species in row crop environments (Johnson et al., 2009 and Prince et al., 2012)</w:t>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Intraspecific competition is negligible.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Deduct collective from 1) nutrient run-off is a persistent problem in industrial agriculture, meaning the available nutrient exceeds all plants, including weeds' needs and 2) weed control measures application often occur at waterhemp's very young stage, leaving very few seedling survived</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weed control program catered to the specific crop is the main cause of mortality.</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Ryan et al., 2010</w:t>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Mature plant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Pollen source is affluently available to all female plants at reproduction stage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Pollens can stay viable for five days after dispersion (Liu et al., 2012) and substantial population density and sex ratio at the experiment site (Nguyen and Liebman, 2022a)</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 of the seeds produced by each female plant are female.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Costea et al., 2005</w:t>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 : female ratio can deviate from 1:1 ratio under different conditions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Nguyen and Liebman, 2022b and Montgomery et al., 2019 and 2021</w:t>
            </w:r>
          </w:p>
        </w:tc>
      </w:tr>
    </w:tbl>
    <w:p>
      <w:pPr>
        <w:pStyle w:val="BodyText"/>
      </w:pPr>
      <w:r>
        <w:t xml:space="preserve">the legacy effect of weed control program on each subplot may last for a few years</w:t>
      </w:r>
      <w:r>
        <w:t xml:space="preserve"> </w:t>
      </w:r>
      <w:r>
        <w:t xml:space="preserve">(Rasmussen et al. 2015; Gibson et al. 2016)</w:t>
      </w:r>
      <w:r>
        <w:t xml:space="preserve">.</w:t>
      </w:r>
    </w:p>
    <w:bookmarkEnd w:id="25"/>
    <w:bookmarkStart w:id="26" w:name="matrix-form"/>
    <w:p>
      <w:pPr>
        <w:pStyle w:val="Heading3"/>
      </w:pPr>
      <w:r>
        <w:t xml:space="preserve">Matrix form</w:t>
      </w:r>
    </w:p>
    <w:p>
      <w:pPr>
        <w:pStyle w:val="FirstParagraph"/>
      </w:pPr>
      <w:r>
        <w:t xml:space="preserve">Each rotation transition matrix,</w:t>
      </w:r>
      <w:r>
        <w:t xml:space="preserve"> </w:t>
      </w:r>
      <m:oMath>
        <m:sSub>
          <m:e>
            <m:r>
              <m:t>A</m:t>
            </m:r>
          </m:e>
          <m:sub>
            <m:r>
              <m:t>r</m:t>
            </m:r>
          </m:sub>
        </m:sSub>
      </m:oMath>
      <w:r>
        <w:t xml:space="preserve">, is the product of two, three or four annual projection matrices,</w:t>
      </w:r>
      <w:r>
        <w:t xml:space="preserve"> </w:t>
      </w:r>
      <m:oMath>
        <m:sSub>
          <m:e>
            <m:r>
              <m:t>P</m:t>
            </m:r>
          </m:e>
          <m:sub>
            <m:r>
              <m:t>c</m:t>
            </m:r>
          </m:sub>
        </m:sSub>
      </m:oMath>
      <w:r>
        <w:t xml:space="preserve"> </w:t>
      </w:r>
      <w:r>
        <w:t xml:space="preserve">(c = 2, 3, or 4, corresponding to the number of crop phases in each rotation). Each annual projection matrices, corresponding to a crop environment,</w:t>
      </w:r>
      <w:r>
        <w:t xml:space="preserve"> </w:t>
      </w:r>
      <m:oMath>
        <m:sSub>
          <m:e>
            <m:r>
              <m:t>P</m:t>
            </m:r>
          </m:e>
          <m:sub>
            <m:r>
              <m:t>c</m:t>
            </m:r>
          </m:sub>
        </m:sSub>
      </m:oMath>
      <w:r>
        <w:t xml:space="preserve">, is the product of six sub-annual matrices,</w:t>
      </w:r>
      <w:r>
        <w:t xml:space="preserve"> </w:t>
      </w:r>
      <m:oMath>
        <m:sSub>
          <m:e>
            <m:r>
              <m:t>B</m:t>
            </m:r>
          </m:e>
          <m:sub>
            <m:r>
              <m:t>k</m:t>
            </m:r>
          </m:sub>
        </m:sSub>
      </m:oMath>
      <w:r>
        <w:t xml:space="preserve"> </w:t>
      </w:r>
      <w:r>
        <w:t xml:space="preserve">with</w:t>
      </w:r>
      <w:r>
        <w:t xml:space="preserve"> </w:t>
      </w:r>
      <m:oMath>
        <m:r>
          <m:t>k</m:t>
        </m:r>
        <m:r>
          <m:rPr>
            <m:sty m:val="p"/>
          </m:rPr>
          <m:t>=</m:t>
        </m:r>
        <m:r>
          <m:rPr>
            <m:sty m:val="p"/>
          </m:rPr>
          <m:t>{</m:t>
        </m:r>
        <m:r>
          <m:t>1</m:t>
        </m:r>
        <m:r>
          <m:rPr>
            <m:sty m:val="p"/>
          </m:rPr>
          <m:t>,</m:t>
        </m:r>
        <m:r>
          <m:t>2</m:t>
        </m:r>
        <m:r>
          <m:rPr>
            <m:sty m:val="p"/>
          </m:rPr>
          <m:t>,</m:t>
        </m:r>
        <m:r>
          <m:rPr>
            <m:sty m:val="p"/>
          </m:rPr>
          <m:t>.</m:t>
        </m:r>
        <m:r>
          <m:rPr>
            <m:sty m:val="p"/>
          </m:rPr>
          <m:t>.</m:t>
        </m:r>
        <m:r>
          <m:rPr>
            <m:sty m:val="p"/>
          </m:rPr>
          <m:t>.</m:t>
        </m:r>
        <m:r>
          <m:rPr>
            <m:sty m:val="p"/>
          </m:rPr>
          <m:t>,</m:t>
        </m:r>
        <m:r>
          <m:t>6</m:t>
        </m:r>
        <m:r>
          <m:rPr>
            <m:sty m:val="p"/>
          </m:rPr>
          <m:t>}</m:t>
        </m:r>
      </m:oMath>
      <w:r>
        <w:t xml:space="preserve">. The six sub-annual matrices, in chronological order from spring to winter, are pre-planting tillage induced seed vertical movement (</w:t>
      </w:r>
      <m:oMath>
        <m:sSub>
          <m:e>
            <m:r>
              <m:t>B</m:t>
            </m:r>
          </m:e>
          <m:sub>
            <m:r>
              <m:t>τ</m:t>
            </m:r>
            <m:d>
              <m:dPr>
                <m:begChr m:val="("/>
                <m:endChr m:val=")"/>
                <m:sepChr m:val=""/>
                <m:grow/>
              </m:dPr>
              <m:e>
                <m:r>
                  <m:t>s</m:t>
                </m:r>
              </m:e>
            </m:d>
          </m:sub>
        </m:sSub>
      </m:oMath>
      <w:r>
        <w:t xml:space="preserve">), emergence (</w:t>
      </w:r>
      <m:oMath>
        <m:sSub>
          <m:e>
            <m:r>
              <m:t>B</m:t>
            </m:r>
          </m:e>
          <m:sub>
            <m:r>
              <m:t>γ</m:t>
            </m:r>
          </m:sub>
        </m:sSub>
      </m:oMath>
      <w:r>
        <w:t xml:space="preserve">), summer seed and seedling survival (</w:t>
      </w:r>
      <m:oMath>
        <m:sSub>
          <m:e>
            <m:r>
              <m:t>B</m:t>
            </m:r>
          </m:e>
          <m:sub>
            <m:r>
              <m:t>σ</m:t>
            </m:r>
          </m:sub>
        </m:sSub>
      </m:oMath>
      <w:r>
        <w:t xml:space="preserve">), fecundity (</w:t>
      </w:r>
      <m:oMath>
        <m:sSub>
          <m:e>
            <m:r>
              <m:t>B</m:t>
            </m:r>
          </m:e>
          <m:sub>
            <m:r>
              <m:t>ϕ</m:t>
            </m:r>
          </m:sub>
        </m:sSub>
      </m:oMath>
      <w:r>
        <w:t xml:space="preserve">), post-harvest tillage induced seed vertical movement (</w:t>
      </w:r>
      <m:oMath>
        <m:sSub>
          <m:e>
            <m:r>
              <m:t>B</m:t>
            </m:r>
          </m:e>
          <m:sub>
            <m:r>
              <m:t>τ</m:t>
            </m:r>
            <m:d>
              <m:dPr>
                <m:begChr m:val="("/>
                <m:endChr m:val=")"/>
                <m:sepChr m:val=""/>
                <m:grow/>
              </m:dPr>
              <m:e>
                <m:r>
                  <m:t>f</m:t>
                </m:r>
              </m:e>
            </m:d>
          </m:sub>
        </m:sSub>
      </m:oMath>
      <w:r>
        <w:t xml:space="preserve">), and overwinter seed survival (</w:t>
      </w:r>
      <m:oMath>
        <m:sSub>
          <m:e>
            <m:r>
              <m:t>B</m:t>
            </m:r>
          </m:e>
          <m:sub>
            <m:r>
              <m:t>ω</m:t>
            </m:r>
          </m:sub>
        </m:sSub>
      </m:oMath>
      <w:r>
        <w:t xml:space="preserve">). Each sub-annual period matrix of means is an 8x8 matrix consists of four blocks using the format of matrix 4.8 in</w:t>
      </w:r>
      <w:r>
        <w:t xml:space="preserve"> </w:t>
      </w:r>
      <w:r>
        <w:t xml:space="preserve">(Chapter 4, Caswell 2001)</w:t>
      </w:r>
      <w:r>
        <w:t xml:space="preserve">. The compilation of each</w:t>
      </w:r>
      <w:r>
        <w:t xml:space="preserve"> </w:t>
      </w:r>
      <m:oMath>
        <m:sSub>
          <m:e>
            <m:r>
              <m:t>B</m:t>
            </m:r>
          </m:e>
          <m:sub>
            <m:r>
              <m:t>h</m:t>
            </m:r>
          </m:sub>
        </m:sSub>
      </m:oMath>
      <w:r>
        <w:t xml:space="preserve"> </w:t>
      </w:r>
      <w:r>
        <w:t xml:space="preserve">matrix, from the published literature, empirical measurement, or both parameters are detailed in the</w:t>
      </w:r>
      <w:r>
        <w:t xml:space="preserve"> </w:t>
      </w:r>
      <w:r>
        <w:rPr>
          <w:iCs/>
          <w:i/>
        </w:rPr>
        <w:t xml:space="preserve">Parameterization</w:t>
      </w:r>
      <w:r>
        <w:t xml:space="preserve"> </w:t>
      </w:r>
      <w:r>
        <w:t xml:space="preserve">section.</w:t>
      </w:r>
    </w:p>
    <w:p>
      <w:pPr>
        <w:pStyle w:val="BodyText"/>
      </w:pPr>
      <w:r>
        <w:t xml:space="preserve">Any transition matrix (periodic sub-annual, (</w:t>
      </w:r>
      <m:oMath>
        <m:sSub>
          <m:e>
            <m:r>
              <m:t>B</m:t>
            </m:r>
          </m:e>
          <m:sub>
            <m:r>
              <m:t>k</m:t>
            </m:r>
          </m:sub>
        </m:sSub>
      </m:oMath>
      <w:r>
        <w:t xml:space="preserve">), annual, (</w:t>
      </w:r>
      <m:oMath>
        <m:sSub>
          <m:e>
            <m:r>
              <m:t>A</m:t>
            </m:r>
          </m:e>
          <m:sub>
            <m:r>
              <m:t>r</m:t>
            </m:r>
          </m:sub>
        </m:sSub>
      </m:oMath>
      <w:r>
        <w:t xml:space="preserve">), or rotational, (</w:t>
      </w:r>
      <m:oMath>
        <m:sSub>
          <m:e>
            <m:r>
              <m:t>P</m:t>
            </m:r>
          </m:e>
          <m:sub>
            <m:r>
              <m:t>c</m:t>
            </m:r>
          </m:sub>
        </m:sSub>
      </m:oMath>
      <w:r>
        <w:t xml:space="preserve">)), is of eight rows by eight columns (8 x 8) consists of four blocks using the format of matrix 4.8 in</w:t>
      </w:r>
      <w:r>
        <w:t xml:space="preserve"> </w:t>
      </w:r>
      <w:r>
        <w:t xml:space="preserve">(Chapter 4, Caswell 2001)</w:t>
      </w:r>
      <w:r>
        <w:t xml:space="preserve">.</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sSub>
                      <m:e>
                        <m:r>
                          <m:t>M</m:t>
                        </m:r>
                      </m:e>
                      <m:sub>
                        <m:r>
                          <m:t>s</m:t>
                        </m:r>
                      </m:sub>
                    </m:sSub>
                  </m:e>
                  <m:e>
                    <m:sSub>
                      <m:e>
                        <m:r>
                          <m:t>M</m:t>
                        </m:r>
                      </m:e>
                      <m:sub>
                        <m:r>
                          <m:t>p</m:t>
                        </m:r>
                        <m:r>
                          <m:rPr>
                            <m:sty m:val="p"/>
                          </m:rPr>
                          <m:t>,</m:t>
                        </m:r>
                        <m:r>
                          <m:t>s</m:t>
                        </m:r>
                      </m:sub>
                    </m:sSub>
                  </m:e>
                </m:mr>
                <m:mr>
                  <m:e>
                    <m:sSub>
                      <m:e>
                        <m:r>
                          <m:t>M</m:t>
                        </m:r>
                      </m:e>
                      <m:sub>
                        <m:r>
                          <m:t>s</m:t>
                        </m:r>
                        <m:r>
                          <m:rPr>
                            <m:sty m:val="p"/>
                          </m:rPr>
                          <m:t>,</m:t>
                        </m:r>
                        <m:r>
                          <m:t>p</m:t>
                        </m:r>
                      </m:sub>
                    </m:sSub>
                  </m:e>
                  <m:e>
                    <m:sSub>
                      <m:e>
                        <m:r>
                          <m:t>M</m:t>
                        </m:r>
                      </m:e>
                      <m:sub>
                        <m:r>
                          <m:t>p</m:t>
                        </m:r>
                      </m:sub>
                    </m:sSub>
                  </m:e>
                </m:mr>
              </m:m>
            </m:e>
          </m:d>
        </m:oMath>
      </m:oMathPara>
    </w:p>
    <w:p>
      <w:pPr>
        <w:pStyle w:val="FirstParagraph"/>
      </w:pPr>
      <w:r>
        <w:t xml:space="preserve">where,</w:t>
      </w:r>
      <w:r>
        <w:br/>
      </w:r>
      <m:oMath>
        <m:sSub>
          <m:e>
            <m:r>
              <m:t>M</m:t>
            </m:r>
          </m:e>
          <m:sub>
            <m:r>
              <m:t>s</m:t>
            </m:r>
          </m:sub>
        </m:sSub>
      </m:oMath>
      <w:r>
        <w:t xml:space="preserve">, 2 x 2, is the transition within the seedbank population (tillage-induced seed movement and summer and overwinter seed survival),</w:t>
      </w:r>
      <w:r>
        <w:br/>
      </w:r>
      <m:oMath>
        <m:sSub>
          <m:e>
            <m:r>
              <m:t>M</m:t>
            </m:r>
          </m:e>
          <m:sub>
            <m:r>
              <m:t>p</m:t>
            </m:r>
          </m:sub>
        </m:sSub>
      </m:oMath>
      <w:r>
        <w:t xml:space="preserve">, 6 x 6, is the transition within the plant population (seedling survival to maturity),</w:t>
      </w:r>
      <w:r>
        <w:br/>
      </w:r>
      <m:oMath>
        <m:sSub>
          <m:e>
            <m:r>
              <m:t>M</m:t>
            </m:r>
          </m:e>
          <m:sub>
            <m:r>
              <m:t>s</m:t>
            </m:r>
            <m:r>
              <m:rPr>
                <m:sty m:val="p"/>
              </m:rPr>
              <m:t>,</m:t>
            </m:r>
            <m:r>
              <m:t>p</m:t>
            </m:r>
          </m:sub>
        </m:sSub>
      </m:oMath>
      <w:r>
        <w:t xml:space="preserve">, 6 x 2, is the transition from the seedbank to the plant population (emergence), and</w:t>
      </w:r>
      <w:r>
        <w:br/>
      </w:r>
      <m:oMath>
        <m:sSub>
          <m:e>
            <m:r>
              <m:t>M</m:t>
            </m:r>
          </m:e>
          <m:sub>
            <m:r>
              <m:t>p</m:t>
            </m:r>
            <m:r>
              <m:rPr>
                <m:sty m:val="p"/>
              </m:rPr>
              <m:t>,</m:t>
            </m:r>
            <m:r>
              <m:t>s</m:t>
            </m:r>
          </m:sub>
        </m:sSub>
      </m:oMath>
      <w:r>
        <w:t xml:space="preserve">, 2 x 6, is the transition from the plant to the seedbank population (distribution of newly produced seeds to the soil seedbank)</w:t>
      </w:r>
    </w:p>
    <w:p>
      <w:pPr>
        <w:pStyle w:val="BodyText"/>
      </w:pPr>
      <w:r>
        <w:t xml:space="preserve">In total, eighteen sets of six sub-annual periodic matrices were used. Each set of sub-annual matrices was constructed for a crop identity crossed with corn weed management combination. Population transition matrices were calculated using Wood’s quadratic programming method</w:t>
      </w:r>
      <w:r>
        <w:t xml:space="preserve"> </w:t>
      </w:r>
      <w:r>
        <w:t xml:space="preserve">(Section 6.2, Caswell 2001)</w:t>
      </w:r>
      <w:r>
        <w:t xml:space="preserve">.</w:t>
      </w:r>
    </w:p>
    <w:bookmarkEnd w:id="26"/>
    <w:bookmarkStart w:id="35" w:name="parameterization"/>
    <w:p>
      <w:pPr>
        <w:pStyle w:val="Heading3"/>
      </w:pPr>
      <w:r>
        <w:t xml:space="preserve">Parameterization</w:t>
      </w:r>
    </w:p>
    <w:p>
      <w:pPr>
        <w:pStyle w:val="FirstParagraph"/>
      </w:pPr>
      <w:r>
        <w:t xml:space="preserve">Two scenarios of population dynamics presented in this manuscript were distinguished by plant fecundity (see</w:t>
      </w:r>
      <w:r>
        <w:t xml:space="preserve"> </w:t>
      </w:r>
      <w:r>
        <w:rPr>
          <w:iCs/>
          <w:i/>
        </w:rPr>
        <w:t xml:space="preserve">Plant fecundity</w:t>
      </w:r>
      <w:r>
        <w:t xml:space="preserve"> </w:t>
      </w:r>
      <w:r>
        <w:t xml:space="preserve">for details). In scenario 1, plant cohorts were recorded. In scenario 2, plant cohorts were assigned by their size because the emergence timing of the sampled plants were not included under the assumption that plant size decreases as emergence delays (Table</w:t>
      </w:r>
      <w:r>
        <w:t xml:space="preserve"> </w:t>
      </w:r>
      <w:r>
        <w:t xml:space="preserve">1</w:t>
      </w:r>
      <w:r>
        <w:t xml:space="preserve">). All the parameters were calculated for a female-only population.</w:t>
      </w:r>
    </w:p>
    <w:p>
      <w:pPr>
        <w:pStyle w:val="BodyText"/>
      </w:pPr>
      <w:r>
        <w:t xml:space="preserve">The lower-level demographic parameters are demographic parameters at each sub-annual periods,</w:t>
      </w:r>
      <w:r>
        <w:t xml:space="preserve"> </w:t>
      </w:r>
      <m:oMath>
        <m:sSub>
          <m:e>
            <m:r>
              <m:t>B</m:t>
            </m:r>
          </m:e>
          <m:sub>
            <m:r>
              <m:t>h</m:t>
            </m:r>
          </m:sub>
        </m:sSub>
      </m:oMath>
      <w:r>
        <w:t xml:space="preserve">, filling</w:t>
      </w:r>
      <w:r>
        <w:t xml:space="preserve"> </w:t>
      </w:r>
      <m:oMath>
        <m:sSub>
          <m:e>
            <m:r>
              <m:t>B</m:t>
            </m:r>
          </m:e>
          <m:sub>
            <m:r>
              <m:t>h</m:t>
            </m:r>
          </m:sub>
        </m:sSub>
      </m:oMath>
      <w:r>
        <w:t xml:space="preserve"> </w:t>
      </w:r>
      <w:r>
        <w:t xml:space="preserve">elements at positions that describe seed and plant dynamics. From left to right, the columns of a</w:t>
      </w:r>
      <w:r>
        <w:t xml:space="preserve"> </w:t>
      </w:r>
      <m:oMath>
        <m:sSub>
          <m:e>
            <m:r>
              <m:t>B</m:t>
            </m:r>
          </m:e>
          <m:sub>
            <m:r>
              <m:t>h</m:t>
            </m:r>
          </m:sub>
        </m:sSub>
      </m:oMath>
      <w:r>
        <w:t xml:space="preserve"> </w:t>
      </w:r>
      <w:r>
        <w:t xml:space="preserve">matrix are named as</w:t>
      </w:r>
      <w:r>
        <w:t xml:space="preserve"> </w:t>
      </w:r>
      <w:r>
        <w:rPr>
          <w:rStyle w:val="VerbatimChar"/>
        </w:rPr>
        <w:t xml:space="preserve">seed_top</w:t>
      </w:r>
      <w:r>
        <w:t xml:space="preserve">,</w:t>
      </w:r>
      <w:r>
        <w:t xml:space="preserve"> </w:t>
      </w:r>
      <w:r>
        <w:rPr>
          <w:rStyle w:val="VerbatimChar"/>
        </w:rPr>
        <w:t xml:space="preserve">seed_bottom</w:t>
      </w:r>
      <w:r>
        <w:t xml:space="preserve">,</w:t>
      </w:r>
      <w:r>
        <w:t xml:space="preserve"> </w:t>
      </w:r>
      <w:r>
        <w:rPr>
          <w:rStyle w:val="VerbatimChar"/>
        </w:rPr>
        <w:t xml:space="preserve">plant_cohort_1</w:t>
      </w:r>
      <w:r>
        <w:t xml:space="preserve">, …,</w:t>
      </w:r>
      <w:r>
        <w:t xml:space="preserve"> </w:t>
      </w:r>
      <w:r>
        <w:rPr>
          <w:rStyle w:val="VerbatimChar"/>
        </w:rPr>
        <w:t xml:space="preserve">plant_cohort_6</w:t>
      </w:r>
      <w:r>
        <w:t xml:space="preserve">. The same order is applied down the rows of</w:t>
      </w:r>
      <w:r>
        <w:t xml:space="preserve"> </w:t>
      </w:r>
      <m:oMath>
        <m:sSub>
          <m:e>
            <m:r>
              <m:t>B</m:t>
            </m:r>
          </m:e>
          <m:sub>
            <m:r>
              <m:t>h</m:t>
            </m:r>
          </m:sub>
        </m:sSub>
      </m:oMath>
      <w:r>
        <w:t xml:space="preserve">.</w:t>
      </w:r>
      <w:r>
        <w:br/>
      </w:r>
      <w:r>
        <w:t xml:space="preserve">The examined lower-level demographic parameters can be grouped based on their impacts to preserving and producing new seeds, hereafter referred to as seed production, seed preservation, and neutral parameters. The seed preserving parameters are the probability of seeds not emerging (</w:t>
      </w:r>
      <m:oMath>
        <m:r>
          <m:t>1</m:t>
        </m:r>
        <m:r>
          <m:rPr>
            <m:sty m:val="p"/>
          </m:rPr>
          <m:t>−</m:t>
        </m:r>
        <m:nary>
          <m:naryPr>
            <m:chr m:val="∑"/>
            <m:limLoc m:val="undOvr"/>
            <m:subHide m:val="0"/>
            <m:supHide m:val="0"/>
          </m:naryPr>
          <m:sub>
            <m:r>
              <m:t>k</m:t>
            </m:r>
            <m:r>
              <m:rPr>
                <m:sty m:val="p"/>
              </m:rPr>
              <m:t>=</m:t>
            </m:r>
            <m:r>
              <m:t>1</m:t>
            </m:r>
          </m:sub>
          <m:sup>
            <m:r>
              <m:t>6</m:t>
            </m:r>
          </m:sup>
          <m:e>
            <m:sSub>
              <m:e>
                <m:r>
                  <m:t>γ</m:t>
                </m:r>
              </m:e>
              <m:sub>
                <m:r>
                  <m:t>k</m:t>
                </m:r>
              </m:sub>
            </m:sSub>
          </m:e>
        </m:nary>
      </m:oMath>
      <w:r>
        <w:t xml:space="preserve">). The seed producing parameters are the emergence probabilities (</w:t>
      </w:r>
      <m:oMath>
        <m:sSub>
          <m:e>
            <m:r>
              <m:t>γ</m:t>
            </m:r>
          </m:e>
          <m:sub>
            <m:r>
              <m:t>k</m:t>
            </m:r>
          </m:sub>
        </m:sSub>
        <m:r>
          <m:rPr>
            <m:sty m:val="p"/>
          </m:rPr>
          <m:t>,</m:t>
        </m:r>
        <m:r>
          <m:t>k</m:t>
        </m:r>
        <m:r>
          <m:rPr>
            <m:sty m:val="p"/>
          </m:rPr>
          <m:t>=</m:t>
        </m:r>
        <m:r>
          <m:rPr>
            <m:sty m:val="p"/>
          </m:rPr>
          <m:t>{</m:t>
        </m:r>
        <m:r>
          <m:t>1</m:t>
        </m:r>
        <m:r>
          <m:rPr>
            <m:sty m:val="p"/>
          </m:rPr>
          <m:t>,</m:t>
        </m:r>
        <m:r>
          <m:rPr>
            <m:sty m:val="p"/>
          </m:rPr>
          <m:t>.</m:t>
        </m:r>
        <m:r>
          <m:rPr>
            <m:sty m:val="p"/>
          </m:rPr>
          <m:t>.</m:t>
        </m:r>
        <m:r>
          <m:t>.6</m:t>
        </m:r>
        <m:r>
          <m:rPr>
            <m:sty m:val="p"/>
          </m:rPr>
          <m:t>}</m:t>
        </m:r>
      </m:oMath>
      <w:r>
        <w:t xml:space="preserve">), the survival rates of seeds (</w:t>
      </w:r>
      <m:oMath>
        <m:sSub>
          <m:e>
            <m:r>
              <m:t>σ</m:t>
            </m:r>
          </m:e>
          <m:sub>
            <m:r>
              <m:t>s</m:t>
            </m:r>
            <m:r>
              <m:t>k</m:t>
            </m:r>
          </m:sub>
        </m:sSub>
        <m:r>
          <m:rPr>
            <m:sty m:val="p"/>
          </m:rPr>
          <m:t>,</m:t>
        </m:r>
        <m:r>
          <m:t>k</m:t>
        </m:r>
        <m:r>
          <m:rPr>
            <m:sty m:val="p"/>
          </m:rPr>
          <m:t>=</m:t>
        </m:r>
        <m:r>
          <m:rPr>
            <m:sty m:val="p"/>
          </m:rPr>
          <m:t>{</m:t>
        </m:r>
        <m:r>
          <m:t>1</m:t>
        </m:r>
        <m:r>
          <m:rPr>
            <m:sty m:val="p"/>
          </m:rPr>
          <m:t>,</m:t>
        </m:r>
        <m:r>
          <m:t>2</m:t>
        </m:r>
        <m:r>
          <m:rPr>
            <m:sty m:val="p"/>
          </m:rPr>
          <m:t>}</m:t>
        </m:r>
      </m:oMath>
      <w:r>
        <w:t xml:space="preserve">) and seedlings (</w:t>
      </w:r>
      <m:oMath>
        <m:sSub>
          <m:e>
            <m:r>
              <m:t>σ</m:t>
            </m:r>
          </m:e>
          <m:sub>
            <m:r>
              <m:t>p</m:t>
            </m:r>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during summer, the fecundity rate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and the survival rate overwinter (</w:t>
      </w:r>
      <m:oMath>
        <m:sSub>
          <m:e>
            <m:r>
              <m:t>ω</m:t>
            </m:r>
          </m:e>
          <m:sub>
            <m:r>
              <m:t>k</m:t>
            </m:r>
          </m:sub>
        </m:sSub>
        <m:r>
          <m:rPr>
            <m:sty m:val="p"/>
          </m:rPr>
          <m:t>,</m:t>
        </m:r>
        <m:r>
          <m:t>k</m:t>
        </m:r>
        <m:r>
          <m:rPr>
            <m:sty m:val="p"/>
          </m:rPr>
          <m:t>=</m:t>
        </m:r>
        <m:r>
          <m:t>1</m:t>
        </m:r>
        <m:r>
          <m:rPr>
            <m:sty m:val="p"/>
          </m:rPr>
          <m:t>,</m:t>
        </m:r>
        <m:r>
          <m:t>2</m:t>
        </m:r>
      </m:oMath>
      <w:r>
        <w:t xml:space="preserve">). Even though emergence reduces the seedbank, the number of seeds that are produced from an emerged seedling that succeeds until seed production are substantial, so emergence is considered positively impacting new seed production</w:t>
      </w:r>
      <w:r>
        <w:t xml:space="preserve"> </w:t>
      </w:r>
      <w:r>
        <w:t xml:space="preserve">(Adam S. Davis 2008)</w:t>
      </w:r>
      <w:r>
        <w:t xml:space="preserve">. The neutral parameters to both seed preservation and seed production are tillage-induced seed movement across soil strata at the pre-planting (</w:t>
      </w:r>
      <m:oMath>
        <m:sSub>
          <m:e>
            <m:r>
              <m:t>τ</m:t>
            </m:r>
          </m:e>
          <m:sub>
            <m:r>
              <m:t>i</m:t>
            </m:r>
            <m:r>
              <m:t>j</m:t>
            </m:r>
            <m:r>
              <m:rPr>
                <m:sty m:val="p"/>
              </m:rPr>
              <m:t>,</m:t>
            </m:r>
            <m:r>
              <m:t>s</m:t>
            </m:r>
          </m:sub>
        </m:sSub>
        <m:r>
          <m:rPr>
            <m:sty m:val="p"/>
          </m:rPr>
          <m:t>,</m:t>
        </m:r>
        <m:r>
          <m:t>i</m:t>
        </m:r>
        <m:r>
          <m:rPr>
            <m:sty m:val="p"/>
          </m:rPr>
          <m:t>,</m:t>
        </m:r>
        <m:r>
          <m:t>j</m:t>
        </m:r>
        <m:r>
          <m:rPr>
            <m:sty m:val="p"/>
          </m:rPr>
          <m:t>=</m:t>
        </m:r>
        <m:r>
          <m:rPr>
            <m:sty m:val="p"/>
          </m:rPr>
          <m:t>{</m:t>
        </m:r>
        <m:r>
          <m:t>1</m:t>
        </m:r>
        <m:r>
          <m:rPr>
            <m:sty m:val="p"/>
          </m:rPr>
          <m:t>,</m:t>
        </m:r>
        <m:r>
          <m:t>2</m:t>
        </m:r>
        <m:r>
          <m:rPr>
            <m:sty m:val="p"/>
          </m:rPr>
          <m:t>}</m:t>
        </m:r>
      </m:oMath>
      <w:r>
        <w:t xml:space="preserve">) and post-harvest</w:t>
      </w:r>
      <w:r>
        <w:t xml:space="preserve"> </w:t>
      </w:r>
      <m:oMath>
        <m:sSub>
          <m:e>
            <m:r>
              <m:t>τ</m:t>
            </m:r>
          </m:e>
          <m:sub>
            <m:r>
              <m:t>i</m:t>
            </m:r>
            <m:r>
              <m:t>j</m:t>
            </m:r>
            <m:r>
              <m:rPr>
                <m:sty m:val="p"/>
              </m:rPr>
              <m:t>,</m:t>
            </m:r>
            <m:r>
              <m:t>f</m:t>
            </m:r>
          </m:sub>
        </m:sSub>
        <m:r>
          <m:rPr>
            <m:sty m:val="p"/>
          </m:rPr>
          <m:t>,</m:t>
        </m:r>
        <m:r>
          <m:t>i</m:t>
        </m:r>
        <m:r>
          <m:rPr>
            <m:sty m:val="p"/>
          </m:rPr>
          <m:t>,</m:t>
        </m:r>
        <m:r>
          <m:t>j</m:t>
        </m:r>
        <m:r>
          <m:rPr>
            <m:sty m:val="p"/>
          </m:rPr>
          <m:t>=</m:t>
        </m:r>
        <m:r>
          <m:rPr>
            <m:sty m:val="p"/>
          </m:rPr>
          <m:t>{</m:t>
        </m:r>
        <m:r>
          <m:t>1</m:t>
        </m:r>
        <m:r>
          <m:rPr>
            <m:sty m:val="p"/>
          </m:rPr>
          <m:t>,</m:t>
        </m:r>
        <m:r>
          <m:t>2</m:t>
        </m:r>
        <m:r>
          <m:rPr>
            <m:sty m:val="p"/>
          </m:rPr>
          <m:t>}</m:t>
        </m:r>
      </m:oMath>
      <w:r>
        <w:t xml:space="preserve">) periods. The tillage-induced seed vertical movement rates are considered neutral parameters because the seeds that are kept at or moved to the 0-2 cm soil layer can be exposed to emergence stimulants or granivors while the seeds that are kept at or moved to the 2-20 cm soil layer can be exposed to suicidal germination and decaying stimulants; or preserved at optimal conditions</w:t>
      </w:r>
      <w:r>
        <w:t xml:space="preserve"> </w:t>
      </w:r>
      <w:r>
        <w:t xml:space="preserve">(Burnside et al. 1996; Adam S. Davis et al. 2005; Adam S. Davis and Renner 2007)</w:t>
      </w:r>
      <w:r>
        <w:t xml:space="preserve">.</w:t>
      </w:r>
    </w:p>
    <w:bookmarkStart w:id="32" w:name="published-literature-data"/>
    <w:p>
      <w:pPr>
        <w:pStyle w:val="Heading4"/>
      </w:pPr>
      <w:r>
        <w:t xml:space="preserve">Published literature data</w:t>
      </w:r>
    </w:p>
    <w:bookmarkStart w:id="27" w:name="X25ebf5f357bc3f697a63ede840897b15e2ebf90"/>
    <w:p>
      <w:pPr>
        <w:pStyle w:val="Heading5"/>
      </w:pPr>
      <w:r>
        <w:t xml:space="preserve">Pre-planting tillage induced vertical redistribution of seeds</w:t>
      </w:r>
    </w:p>
    <w:p>
      <w:pPr>
        <w:pStyle w:val="FirstParagraph"/>
      </w:pPr>
      <w:r>
        <w:t xml:space="preserve">The only non-zeros section of the pre-planting tillage induced vertical redistribution of seeds is</w:t>
      </w:r>
      <w:r>
        <w:t xml:space="preserve"> </w:t>
      </w:r>
      <m:oMath>
        <m:sSub>
          <m:e>
            <m:r>
              <m:t>M</m:t>
            </m:r>
          </m:e>
          <m:sub>
            <m:r>
              <m:t>s</m:t>
            </m:r>
          </m:sub>
        </m:sSub>
      </m:oMath>
      <w:r>
        <w:t xml:space="preserve">.</w:t>
      </w:r>
      <w:r>
        <w:t xml:space="preserve"> </w:t>
      </w:r>
      <m:oMath>
        <m:sSub>
          <m:e>
            <m:r>
              <m:t>M</m:t>
            </m:r>
          </m:e>
          <m:sub>
            <m:r>
              <m:t>s</m:t>
            </m:r>
          </m:sub>
        </m:sSub>
      </m:oMath>
      <w:r>
        <w:t xml:space="preserve">’s were resized from the raw data of Seed Chaser</w:t>
      </w:r>
      <w:r>
        <w:t xml:space="preserve"> </w:t>
      </w:r>
      <w:r>
        <w:t xml:space="preserve">(Spokas et al. 2007)</w:t>
      </w:r>
      <w:r>
        <w:t xml:space="preserve">, a simulation program that estimate vertical seed movement after tillage. No-till is represented by an identical matrix,</w:t>
      </w:r>
      <w:r>
        <w:t xml:space="preserve"> </w:t>
      </w:r>
      <m:oMath>
        <m:r>
          <m:t>I</m:t>
        </m:r>
      </m:oMath>
      <w:r>
        <w:t xml:space="preserve">, after</w:t>
      </w:r>
      <w:r>
        <w:t xml:space="preserve"> </w:t>
      </w:r>
      <w:r>
        <w:t xml:space="preserve">R. Cousens and Moss (1990)</w:t>
      </w:r>
      <w:r>
        <w:t xml:space="preserve">. Field cultivator was applied before planting corn (C2, C3, and C4), soybean (S2, S3, and S4), and oat (O3 and O4). No tillage was applied before alfalfa (A4) because alfalfa that was intercropped with oat in the 4-year rotation (O4) was kept overwinter and grown as a sole crop in the following year.</w:t>
      </w:r>
    </w:p>
    <w:p>
      <w:pPr>
        <w:pStyle w:val="BodyText"/>
      </w:pPr>
      <w:r>
        <w:t xml:space="preserve">The</w:t>
      </w:r>
      <w:r>
        <w:t xml:space="preserve"> </w:t>
      </w:r>
      <w:r>
        <w:t xml:space="preserve">Spokas et al. (2007)</w:t>
      </w:r>
      <w:r>
        <w:t xml:space="preserve">’s raw data was used to calculate the proportion of seeds staying at its original section,</w:t>
      </w:r>
      <w:r>
        <w:t xml:space="preserve"> </w:t>
      </w:r>
      <m:oMath>
        <m:sSub>
          <m:e>
            <m:r>
              <m:t>τ</m:t>
            </m:r>
          </m:e>
          <m:sub>
            <m:r>
              <m:t>11</m:t>
            </m:r>
            <m:r>
              <m:rPr>
                <m:sty m:val="p"/>
              </m:rPr>
              <m:t>,</m:t>
            </m:r>
            <m:r>
              <m:t>s</m:t>
            </m:r>
          </m:sub>
        </m:sSub>
      </m:oMath>
      <w:r>
        <w:t xml:space="preserve"> </w:t>
      </w:r>
      <w:r>
        <w:t xml:space="preserve">and</w:t>
      </w:r>
      <w:r>
        <w:t xml:space="preserve"> </w:t>
      </w:r>
      <m:oMath>
        <m:sSub>
          <m:e>
            <m:r>
              <m:t>τ</m:t>
            </m:r>
          </m:e>
          <m:sub>
            <m:r>
              <m:t>22</m:t>
            </m:r>
            <m:r>
              <m:rPr>
                <m:sty m:val="p"/>
              </m:rPr>
              <m:t>,</m:t>
            </m:r>
            <m:r>
              <m:t>s</m:t>
            </m:r>
          </m:sub>
        </m:sSub>
      </m:oMath>
      <w:r>
        <w:t xml:space="preserve">, or move to another section,</w:t>
      </w:r>
      <w:r>
        <w:t xml:space="preserve"> </w:t>
      </w:r>
      <m:oMath>
        <m:sSub>
          <m:e>
            <m:r>
              <m:t>τ</m:t>
            </m:r>
          </m:e>
          <m:sub>
            <m:r>
              <m:t>12</m:t>
            </m:r>
            <m:r>
              <m:rPr>
                <m:sty m:val="p"/>
              </m:rPr>
              <m:t>,</m:t>
            </m:r>
            <m:r>
              <m:t>s</m:t>
            </m:r>
          </m:sub>
        </m:sSub>
      </m:oMath>
      <w:r>
        <w:t xml:space="preserve"> </w:t>
      </w:r>
      <w:r>
        <w:t xml:space="preserve">and</w:t>
      </w:r>
      <w:r>
        <w:t xml:space="preserve"> </w:t>
      </w:r>
      <m:oMath>
        <m:sSub>
          <m:e>
            <m:r>
              <m:t>τ</m:t>
            </m:r>
          </m:e>
          <m:sub>
            <m:r>
              <m:t>21</m:t>
            </m:r>
            <m:r>
              <m:rPr>
                <m:sty m:val="p"/>
              </m:rPr>
              <m:t>,</m:t>
            </m:r>
            <m:r>
              <m:t>s</m:t>
            </m:r>
          </m:sub>
        </m:sSub>
      </m:oMath>
      <w:r>
        <w:t xml:space="preserve">. The original matrices in</w:t>
      </w:r>
      <w:r>
        <w:t xml:space="preserve"> </w:t>
      </w:r>
      <w:r>
        <w:t xml:space="preserve">Spokas et al. (2007)</w:t>
      </w:r>
      <w:r>
        <w:t xml:space="preserve"> </w:t>
      </w:r>
      <w:r>
        <w:t xml:space="preserve">were resized to 2x2 by summing over all the elements within each of the four sections, i.e., top left 2x2, bottom left 18x2, top right 2x18, and 18x18, and divide each of the ix2 summations by the summation of the 20x2 left section, and each of the ix18 summations by the summation of the 20x2 right section.</w:t>
      </w:r>
    </w:p>
    <w:p>
      <w:pPr>
        <w:pStyle w:val="BodyText"/>
      </w:pPr>
      <m:oMathPara>
        <m:oMathParaPr>
          <m:jc m:val="center"/>
        </m:oMathParaPr>
        <m:oMath>
          <m:sSub>
            <m:e>
              <m:r>
                <m:rPr>
                  <m:sty m:val="b"/>
                </m:rPr>
                <m:t>B</m:t>
              </m:r>
            </m:e>
            <m:sub>
              <m:r>
                <m:rPr>
                  <m:sty m:val="b"/>
                </m:rPr>
                <m:t>τ</m:t>
              </m:r>
              <m:d>
                <m:dPr>
                  <m:begChr m:val="("/>
                  <m:endChr m:val=")"/>
                  <m:sepChr m:val=""/>
                  <m:grow/>
                </m:dPr>
                <m:e>
                  <m:r>
                    <m:rPr>
                      <m:sty m:val="b"/>
                    </m:rPr>
                    <m:t>s</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τ</m:t>
                        </m:r>
                      </m:e>
                      <m:sub>
                        <m:r>
                          <m:t>11</m:t>
                        </m:r>
                        <m:r>
                          <m:rPr>
                            <m:sty m:val="p"/>
                          </m:rPr>
                          <m:t>,</m:t>
                        </m:r>
                        <m:r>
                          <m:t>s</m:t>
                        </m:r>
                      </m:sub>
                    </m:sSub>
                  </m:e>
                  <m:e>
                    <m:sSub>
                      <m:e>
                        <m:r>
                          <m:t>τ</m:t>
                        </m:r>
                      </m:e>
                      <m:sub>
                        <m:r>
                          <m:t>21</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τ</m:t>
                        </m:r>
                      </m:e>
                      <m:sub>
                        <m:r>
                          <m:t>12</m:t>
                        </m:r>
                        <m:r>
                          <m:rPr>
                            <m:sty m:val="p"/>
                          </m:rPr>
                          <m:t>,</m:t>
                        </m:r>
                        <m:r>
                          <m:t>s</m:t>
                        </m:r>
                      </m:sub>
                    </m:sSub>
                  </m:e>
                  <m:e>
                    <m:sSub>
                      <m:e>
                        <m:r>
                          <m:t>τ</m:t>
                        </m:r>
                      </m:e>
                      <m:sub>
                        <m:r>
                          <m:t>22</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27"/>
    <w:bookmarkStart w:id="28" w:name="X185207a0d58b38e048cbd72eec73724706b4f10"/>
    <w:p>
      <w:pPr>
        <w:pStyle w:val="Heading5"/>
      </w:pPr>
      <w:r>
        <w:t xml:space="preserve">In-season survival of seeds and seedlings</w:t>
      </w:r>
    </w:p>
    <w:p>
      <w:pPr>
        <w:pStyle w:val="FirstParagraph"/>
      </w:pPr>
      <w:r>
        <w:t xml:space="preserve">The matrix</w:t>
      </w:r>
      <w:r>
        <w:t xml:space="preserve"> </w:t>
      </w:r>
      <m:oMath>
        <m:sSub>
          <m:e>
            <m:r>
              <m:t>B</m:t>
            </m:r>
          </m:e>
          <m:sub>
            <m:r>
              <m:t>σ</m:t>
            </m:r>
          </m:sub>
        </m:sSub>
      </m:oMath>
      <w:r>
        <w:t xml:space="preserve"> </w:t>
      </w:r>
      <w:r>
        <w:t xml:space="preserve">is comprised of seed survival rates at the</w:t>
      </w:r>
      <w:r>
        <w:t xml:space="preserve"> </w:t>
      </w:r>
      <m:oMath>
        <m:sSub>
          <m:e>
            <m:r>
              <m:t>M</m:t>
            </m:r>
          </m:e>
          <m:sub>
            <m:r>
              <m:t>s</m:t>
            </m:r>
          </m:sub>
        </m:sSub>
      </m:oMath>
      <w:r>
        <w:t xml:space="preserve"> </w:t>
      </w:r>
      <w:r>
        <w:t xml:space="preserve">and plant survival rates at the</w:t>
      </w:r>
      <w:r>
        <w:t xml:space="preserve"> </w:t>
      </w:r>
      <m:oMath>
        <m:sSub>
          <m:e>
            <m:r>
              <m:t>M</m:t>
            </m:r>
          </m:e>
          <m:sub>
            <m:r>
              <m:t>p</m:t>
            </m:r>
          </m:sub>
        </m:sSub>
      </m:oMath>
      <w:r>
        <w:t xml:space="preserve"> </w:t>
      </w:r>
      <w:r>
        <w:t xml:space="preserve">sections, respectively.</w:t>
      </w:r>
    </w:p>
    <w:p>
      <w:pPr>
        <w:pStyle w:val="BodyText"/>
      </w:pPr>
      <m:oMathPara>
        <m:oMathParaPr>
          <m:jc m:val="center"/>
        </m:oMathParaPr>
        <m:oMath>
          <m:sSub>
            <m:e>
              <m:r>
                <m:rPr>
                  <m:sty m:val="b"/>
                </m:rPr>
                <m:t>B</m:t>
              </m:r>
            </m:e>
            <m:sub>
              <m:r>
                <m:rPr>
                  <m:sty m:val="b"/>
                </m:rPr>
                <m:t>σ</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σ</m:t>
                        </m:r>
                      </m:e>
                      <m:sub>
                        <m:sSub>
                          <m:e>
                            <m:r>
                              <m:t>s</m:t>
                            </m:r>
                          </m:e>
                          <m:sub>
                            <m:r>
                              <m:t>1</m:t>
                            </m:r>
                          </m:sub>
                        </m:sSub>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σ</m:t>
                        </m:r>
                      </m:e>
                      <m:sub>
                        <m:sSub>
                          <m:e>
                            <m:r>
                              <m:t>s</m:t>
                            </m:r>
                          </m:e>
                          <m:sub>
                            <m:r>
                              <m:t>2</m:t>
                            </m:r>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sSub>
                      <m:e>
                        <m:r>
                          <m:t>σ</m:t>
                        </m:r>
                      </m:e>
                      <m:sub>
                        <m:sSub>
                          <m:e>
                            <m:r>
                              <m:t>p</m:t>
                            </m:r>
                          </m:e>
                          <m:sub>
                            <m:r>
                              <m:t>1</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2</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6</m:t>
                            </m:r>
                          </m:sub>
                        </m:sSub>
                      </m:sub>
                    </m:sSub>
                  </m:e>
                </m:mr>
              </m:m>
            </m:e>
          </m:d>
        </m:oMath>
      </m:oMathPara>
    </w:p>
    <w:p>
      <w:pPr>
        <w:pStyle w:val="FirstParagraph"/>
      </w:pPr>
      <w:r>
        <w:t xml:space="preserve">The</w:t>
      </w:r>
      <w:r>
        <w:t xml:space="preserve"> </w:t>
      </w:r>
      <m:oMath>
        <m:sSub>
          <m:e>
            <m:r>
              <m:t>M</m:t>
            </m:r>
          </m:e>
          <m:sub>
            <m:r>
              <m:t>s</m:t>
            </m:r>
          </m:sub>
        </m:sSub>
      </m:oMath>
      <w:r>
        <w:t xml:space="preserve"> </w:t>
      </w:r>
      <w:r>
        <w:t xml:space="preserve">section’s diagonal (</w:t>
      </w:r>
      <m:oMath>
        <m:sSub>
          <m:e>
            <m:r>
              <m:t>σ</m:t>
            </m:r>
          </m:e>
          <m:sub>
            <m:sSub>
              <m:e>
                <m:r>
                  <m:t>s</m:t>
                </m:r>
              </m:e>
              <m:sub>
                <m:r>
                  <m:t>1</m:t>
                </m:r>
              </m:sub>
            </m:sSub>
          </m:sub>
        </m:sSub>
      </m:oMath>
      <w:r>
        <w:t xml:space="preserve"> </w:t>
      </w:r>
      <w:r>
        <w:t xml:space="preserve">and</w:t>
      </w:r>
      <w:r>
        <w:t xml:space="preserve"> </w:t>
      </w:r>
      <m:oMath>
        <m:sSub>
          <m:e>
            <m:r>
              <m:t>σ</m:t>
            </m:r>
          </m:e>
          <m:sub>
            <m:sSub>
              <m:e>
                <m:r>
                  <m:t>s</m:t>
                </m:r>
              </m:e>
              <m:sub>
                <m:r>
                  <m:t>2</m:t>
                </m:r>
              </m:sub>
            </m:sSub>
          </m:sub>
        </m:sSub>
      </m:oMath>
      <w:r>
        <w:t xml:space="preserve">) were filled with survival rates adapted from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Webster, and Culpepper 2013)</w:t>
      </w:r>
      <w:r>
        <w:t xml:space="preserve"> </w:t>
      </w:r>
      <w:r>
        <w:t xml:space="preserve">for the top and bottom layers. The values of x, denoted as</w:t>
      </w:r>
      <w:r>
        <w:t xml:space="preserve"> </w:t>
      </w:r>
      <m:oMath>
        <m:sSub>
          <m:e>
            <m:r>
              <m:t>x</m:t>
            </m:r>
          </m:e>
          <m:sub>
            <m:r>
              <m:t>s</m:t>
            </m:r>
          </m:sub>
        </m:sSub>
      </m:oMath>
      <w:r>
        <w:t xml:space="preserve">, the burial length in month, were assigned at 6 for corn and soybean,</w:t>
      </w:r>
      <w:r>
        <w:t xml:space="preserve"> </w:t>
      </w:r>
      <w:r>
        <w:rPr>
          <w:iCs/>
          <w:i/>
        </w:rPr>
        <w:t xml:space="preserve">6.5 for oat, and 7 for alfalfa</w:t>
      </w:r>
      <w:r>
        <w:t xml:space="preserve"> </w:t>
      </w:r>
      <w:r>
        <w:t xml:space="preserve">crop environments (Table</w:t>
      </w:r>
      <w:r>
        <w:t xml:space="preserve"> </w:t>
      </w:r>
      <w:r>
        <w:t xml:space="preserve">2</w:t>
      </w:r>
      <w:r>
        <w:t xml:space="preserve">). These x’s values were assigned based on the estimated time that seeds are receiving germination stimulants.</w:t>
      </w:r>
    </w:p>
    <w:p>
      <w:pPr>
        <w:pStyle w:val="BodyText"/>
      </w:pPr>
      <w:r>
        <w:t xml:space="preserve">The empirically measured data for seedling survival was unrealistically (Appendix) low as compared to the literature, so</w:t>
      </w:r>
      <w:r>
        <w:t xml:space="preserve"> </w:t>
      </w:r>
      <w:r>
        <w:t xml:space="preserve">Nordby and Hartzler (2004)</w:t>
      </w:r>
      <w:r>
        <w:t xml:space="preserve">’s results were used for corn and</w:t>
      </w:r>
      <w:r>
        <w:t xml:space="preserve"> </w:t>
      </w:r>
      <w:r>
        <w:t xml:space="preserve">Hartzler, Battles, and Nordby (2004)</w:t>
      </w:r>
      <w:r>
        <w:t xml:space="preserve">’s were used for soybean crop environments. The seedling survival rates by cohort (</w:t>
      </w:r>
      <m:oMath>
        <m:sSub>
          <m:e>
            <m:r>
              <m:t>σ</m:t>
            </m:r>
          </m:e>
          <m:sub>
            <m:sSub>
              <m:e>
                <m:r>
                  <m:t>p</m:t>
                </m:r>
              </m:e>
              <m:sub>
                <m:r>
                  <m:t>k</m:t>
                </m:r>
              </m:sub>
            </m:sSub>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were assigned such that the earlier cohorts had lower survival rate in the oat crop environment; and those in the alfalfa crop environment were evenly low in all cohorts. These guessed numbers were based on a suggestion that the cool-season crop environments can inhibit warm-season weed species growth</w:t>
      </w:r>
      <w:r>
        <w:t xml:space="preserve"> </w:t>
      </w:r>
      <w:r>
        <w:t xml:space="preserve">(Nguyen and Liebman 2022b and relevant citations)</w:t>
      </w:r>
      <w:r>
        <w:t xml:space="preserve">.</w:t>
      </w:r>
    </w:p>
    <w:bookmarkEnd w:id="28"/>
    <w:bookmarkStart w:id="29" w:name="plant-fecundity"/>
    <w:p>
      <w:pPr>
        <w:pStyle w:val="Heading5"/>
      </w:pPr>
      <w:r>
        <w:t xml:space="preserve">Plant fecundity</w:t>
      </w:r>
    </w:p>
    <w:p>
      <w:pPr>
        <w:pStyle w:val="FirstParagraph"/>
      </w:pPr>
      <w:r>
        <w:t xml:space="preserve">The plant fecundity matrix,</w:t>
      </w:r>
      <w:r>
        <w:t xml:space="preserve"> </w:t>
      </w:r>
      <m:oMath>
        <m:sSub>
          <m:e>
            <m:r>
              <m:t>B</m:t>
            </m:r>
          </m:e>
          <m:sub>
            <m:r>
              <m:t>ϕ</m:t>
            </m:r>
          </m:sub>
        </m:sSub>
      </m:oMath>
      <w:r>
        <w:t xml:space="preserve">, had the</w:t>
      </w:r>
      <w:r>
        <w:t xml:space="preserve"> </w:t>
      </w:r>
      <m:oMath>
        <m:sSub>
          <m:e>
            <m:r>
              <m:t>M</m:t>
            </m:r>
          </m:e>
          <m:sub>
            <m:r>
              <m:t>s</m:t>
            </m:r>
          </m:sub>
        </m:sSub>
      </m:oMath>
      <w:r>
        <w:t xml:space="preserve"> </w:t>
      </w:r>
      <w:r>
        <w:t xml:space="preserve">section’s diagonal filled with 1’s and the first row of the</w:t>
      </w:r>
      <w:r>
        <w:t xml:space="preserve"> </w:t>
      </w:r>
      <m:oMath>
        <m:sSub>
          <m:e>
            <m:r>
              <m:t>M</m:t>
            </m:r>
          </m:e>
          <m:sub>
            <m:r>
              <m:t>p</m:t>
            </m:r>
            <m:r>
              <m:rPr>
                <m:sty m:val="p"/>
              </m:rPr>
              <m:t>,</m:t>
            </m:r>
            <m:r>
              <m:t>s</m:t>
            </m:r>
          </m:sub>
        </m:sSub>
      </m:oMath>
      <w:r>
        <w:t xml:space="preserve"> </w:t>
      </w:r>
      <w:r>
        <w:t xml:space="preserve">filled with</w:t>
      </w:r>
      <w:r>
        <w:t xml:space="preserv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The 1’s in the</w:t>
      </w:r>
      <w:r>
        <w:t xml:space="preserve"> </w:t>
      </w:r>
      <m:oMath>
        <m:sSub>
          <m:e>
            <m:r>
              <m:t>M</m:t>
            </m:r>
          </m:e>
          <m:sub>
            <m:r>
              <m:t>s</m:t>
            </m:r>
          </m:sub>
        </m:sSub>
      </m:oMath>
      <w:r>
        <w:t xml:space="preserve"> </w:t>
      </w:r>
      <w:r>
        <w:t xml:space="preserve">section’s diagonal are placeholders to carry the product from the previous matrices over.</w:t>
      </w:r>
    </w:p>
    <w:p>
      <w:pPr>
        <w:pStyle w:val="BodyText"/>
      </w:pPr>
      <m:oMathPara>
        <m:oMathParaPr>
          <m:jc m:val="center"/>
        </m:oMathParaPr>
        <m:oMath>
          <m:sSub>
            <m:e>
              <m:r>
                <m:rPr>
                  <m:sty m:val="b"/>
                </m:rPr>
                <m:t>B</m:t>
              </m:r>
            </m:e>
            <m:sub>
              <m:r>
                <m:rPr>
                  <m:sty m:val="b"/>
                </m:rPr>
                <m:t>ϕ</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e>
                  <m:e>
                    <m:r>
                      <m:t>0</m:t>
                    </m:r>
                  </m:e>
                  <m:e>
                    <m:sSub>
                      <m:e>
                        <m:r>
                          <m:t>ϕ</m:t>
                        </m:r>
                      </m:e>
                      <m:sub>
                        <m:r>
                          <m:t>1</m:t>
                        </m:r>
                      </m:sub>
                    </m:sSub>
                  </m:e>
                  <m:e>
                    <m:sSub>
                      <m:e>
                        <m:r>
                          <m:t>ϕ</m:t>
                        </m:r>
                      </m:e>
                      <m:sub>
                        <m:r>
                          <m:t>2</m:t>
                        </m:r>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ϕ</m:t>
                        </m:r>
                      </m:e>
                      <m:sub>
                        <m:r>
                          <m:t>6</m:t>
                        </m:r>
                      </m:sub>
                    </m:sSub>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r>
                      <m:t>0</m:t>
                    </m:r>
                  </m:e>
                </m:mr>
              </m:m>
            </m:e>
          </m:d>
        </m:oMath>
      </m:oMathPara>
    </w:p>
    <w:p>
      <w:pPr>
        <w:pStyle w:val="FirstParagraph"/>
      </w:pPr>
      <w:r>
        <w:t xml:space="preserve">Two scenarios of plant fecundity were used. In scenario 1, plant fecundity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in each crop identity crossed with corn weed management was estimated from plant aboveground mass using eighteen equations from</w:t>
      </w:r>
      <w:r>
        <w:t xml:space="preserve"> </w:t>
      </w:r>
      <w:r>
        <w:t xml:space="preserve">Nguyen and Liebman (2022a)</w:t>
      </w:r>
      <w:r>
        <w:t xml:space="preserve">. In scenario 2, the plants were partitioned into six size-based bins and their fecundity were summarized as</w:t>
      </w:r>
      <w:r>
        <w:t xml:space="preserv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t>
      </w:r>
      <w:r>
        <w:t xml:space="preserve">and filled in their relevant position in the</w:t>
      </w:r>
      <w:r>
        <w:t xml:space="preserve"> </w:t>
      </w:r>
      <m:oMath>
        <m:sSub>
          <m:e>
            <m:r>
              <m:t>B</m:t>
            </m:r>
          </m:e>
          <m:sub>
            <m:r>
              <m:t>ϕ</m:t>
            </m:r>
          </m:sub>
        </m:sSub>
      </m:oMath>
      <w:r>
        <w:t xml:space="preserve"> </w:t>
      </w:r>
      <w:r>
        <w:t xml:space="preserve">matrix by partitioning. Both practices in scenarios 1 and 2 were based on the assumption that plant size and fecundity decreased as emergence delayed</w:t>
      </w:r>
      <w:r>
        <w:t xml:space="preserve"> </w:t>
      </w:r>
      <w:r>
        <w:t xml:space="preserve">(Hartzler, Battles, and Nordby 2004; Nordby and Hartzler 2004)</w:t>
      </w:r>
      <w:r>
        <w:t xml:space="preserve">.</w:t>
      </w:r>
    </w:p>
    <w:bookmarkEnd w:id="29"/>
    <w:bookmarkStart w:id="30" w:name="X5af0c29dd0db1fad40095958aeca28a7bb63d51"/>
    <w:p>
      <w:pPr>
        <w:pStyle w:val="Heading5"/>
      </w:pPr>
      <w:r>
        <w:t xml:space="preserve">Post-harvest tillage induced vertical redistribution of seeds post-harvest tillage</w:t>
      </w:r>
    </w:p>
    <w:p>
      <w:pPr>
        <w:pStyle w:val="FirstParagraph"/>
      </w:pPr>
      <w:r>
        <w:t xml:space="preserve">The compilation of</w:t>
      </w:r>
      <w:r>
        <w:t xml:space="preserve"> </w:t>
      </w:r>
      <m:oMath>
        <m:sSub>
          <m:e>
            <m:r>
              <m:t>B</m:t>
            </m:r>
          </m:e>
          <m:sub>
            <m:r>
              <m:t>τ</m:t>
            </m:r>
            <m:d>
              <m:dPr>
                <m:begChr m:val="("/>
                <m:endChr m:val=")"/>
                <m:sepChr m:val=""/>
                <m:grow/>
              </m:dPr>
              <m:e>
                <m:r>
                  <m:t>f</m:t>
                </m:r>
              </m:e>
            </m:d>
          </m:sub>
        </m:sSub>
      </m:oMath>
      <w:r>
        <w:t xml:space="preserve"> </w:t>
      </w:r>
      <w:r>
        <w:t xml:space="preserve">was the similar to that of</w:t>
      </w:r>
      <w:r>
        <w:t xml:space="preserve"> </w:t>
      </w:r>
      <m:oMath>
        <m:sSub>
          <m:e>
            <m:r>
              <m:t>B</m:t>
            </m:r>
          </m:e>
          <m:sub>
            <m:r>
              <m:t>τ</m:t>
            </m:r>
            <m:d>
              <m:dPr>
                <m:begChr m:val="("/>
                <m:endChr m:val=")"/>
                <m:sepChr m:val=""/>
                <m:grow/>
              </m:dPr>
              <m:e>
                <m:r>
                  <m:t>s</m:t>
                </m:r>
              </m:e>
            </m:d>
          </m:sub>
        </m:sSub>
      </m:oMath>
      <w:r>
        <w:t xml:space="preserve">. Chisel plow was applied after C2, C3, and C4, no-till was applied after S2, S3, S4, and O4, and moldboard was applied after O3 and A4.</w:t>
      </w:r>
    </w:p>
    <w:p>
      <w:pPr>
        <w:pStyle w:val="BodyText"/>
      </w:pPr>
      <m:oMathPara>
        <m:oMathParaPr>
          <m:jc m:val="center"/>
        </m:oMathParaPr>
        <m:oMath>
          <m:sSub>
            <m:e>
              <m:r>
                <m:rPr>
                  <m:sty m:val="b"/>
                </m:rPr>
                <m:t>B</m:t>
              </m:r>
            </m:e>
            <m:sub>
              <m:r>
                <m:rPr>
                  <m:sty m:val="b"/>
                </m:rPr>
                <m:t>τ</m:t>
              </m:r>
              <m:d>
                <m:dPr>
                  <m:begChr m:val="("/>
                  <m:endChr m:val=")"/>
                  <m:sepChr m:val=""/>
                  <m:grow/>
                </m:dPr>
                <m:e>
                  <m:r>
                    <m:rPr>
                      <m:sty m:val="b"/>
                    </m:rPr>
                    <m:t>f</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τ</m:t>
                        </m:r>
                      </m:e>
                      <m:sub>
                        <m:r>
                          <m:t>11</m:t>
                        </m:r>
                        <m:r>
                          <m:rPr>
                            <m:sty m:val="p"/>
                          </m:rPr>
                          <m:t>,</m:t>
                        </m:r>
                        <m:r>
                          <m:t>f</m:t>
                        </m:r>
                      </m:sub>
                    </m:sSub>
                  </m:e>
                  <m:e>
                    <m:sSub>
                      <m:e>
                        <m:r>
                          <m:t>τ</m:t>
                        </m:r>
                      </m:e>
                      <m:sub>
                        <m:r>
                          <m:t>21</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τ</m:t>
                        </m:r>
                      </m:e>
                      <m:sub>
                        <m:r>
                          <m:t>12</m:t>
                        </m:r>
                        <m:r>
                          <m:rPr>
                            <m:sty m:val="p"/>
                          </m:rPr>
                          <m:t>,</m:t>
                        </m:r>
                        <m:r>
                          <m:t>f</m:t>
                        </m:r>
                      </m:sub>
                    </m:sSub>
                  </m:e>
                  <m:e>
                    <m:sSub>
                      <m:e>
                        <m:r>
                          <m:t>τ</m:t>
                        </m:r>
                      </m:e>
                      <m:sub>
                        <m:r>
                          <m:t>22</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30"/>
    <w:bookmarkStart w:id="31" w:name="overwinter-survival"/>
    <w:p>
      <w:pPr>
        <w:pStyle w:val="Heading5"/>
      </w:pPr>
      <w:r>
        <w:t xml:space="preserve">Overwinter survival</w:t>
      </w:r>
    </w:p>
    <w:p>
      <w:pPr>
        <w:pStyle w:val="FirstParagraph"/>
      </w:pPr>
      <w:r>
        <w:t xml:space="preserve">The compilation of matrix</w:t>
      </w:r>
      <w:r>
        <w:t xml:space="preserve"> </w:t>
      </w:r>
      <m:oMath>
        <m:sSub>
          <m:e>
            <m:r>
              <m:t>B</m:t>
            </m:r>
          </m:e>
          <m:sub>
            <m:r>
              <m:t>ω</m:t>
            </m:r>
          </m:sub>
        </m:sSub>
      </m:oMath>
      <w:r>
        <w:t xml:space="preserve"> </w:t>
      </w:r>
      <w:r>
        <w:t xml:space="preserve">was similar to that of</w:t>
      </w:r>
      <w:r>
        <w:t xml:space="preserve"> </w:t>
      </w:r>
      <m:oMath>
        <m:sSub>
          <m:e>
            <m:r>
              <m:t>B</m:t>
            </m:r>
          </m:e>
          <m:sub>
            <m:r>
              <m:t>σ</m:t>
            </m:r>
          </m:sub>
        </m:sSub>
      </m:oMath>
      <w:r>
        <w:t xml:space="preserve">, using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Webster, and Culpepper 2013)</w:t>
      </w:r>
      <w:r>
        <w:t xml:space="preserve">.</w:t>
      </w:r>
      <w:r>
        <w:t xml:space="preserve"> </w:t>
      </w:r>
      <m:oMath>
        <m:sSub>
          <m:e>
            <m:r>
              <m:t>ω</m:t>
            </m:r>
          </m:e>
          <m:sub>
            <m:r>
              <m:t>i</m:t>
            </m:r>
            <m:r>
              <m:t>j</m:t>
            </m:r>
          </m:sub>
        </m:sSub>
      </m:oMath>
      <w:r>
        <w:t xml:space="preserve"> </w:t>
      </w:r>
      <w:r>
        <w:t xml:space="preserve">was calculated with different values of x, denoted as</w:t>
      </w:r>
      <w:r>
        <w:t xml:space="preserve"> </w:t>
      </w:r>
      <m:oMath>
        <m:sSub>
          <m:e>
            <m:r>
              <m:t>x</m:t>
            </m:r>
          </m:e>
          <m:sub>
            <m:r>
              <m:t>w</m:t>
            </m:r>
          </m:sub>
        </m:sSub>
      </m:oMath>
      <w:r>
        <w:t xml:space="preserve"> </w:t>
      </w:r>
      <w:r>
        <w:t xml:space="preserve">the burial length in month, were assigned at 6 for corn and soybean,</w:t>
      </w:r>
      <w:r>
        <w:t xml:space="preserve"> </w:t>
      </w:r>
      <w:r>
        <w:rPr>
          <w:iCs/>
          <w:i/>
        </w:rPr>
        <w:t xml:space="preserve">5.5 for oat, and 5 for alfalfa</w:t>
      </w:r>
      <w:r>
        <w:t xml:space="preserve"> </w:t>
      </w:r>
      <w:r>
        <w:t xml:space="preserve">crop environments (Table</w:t>
      </w:r>
      <w:r>
        <w:t xml:space="preserve"> </w:t>
      </w:r>
      <w:r>
        <w:t xml:space="preserve">2</w:t>
      </w:r>
      <w:r>
        <w:t xml:space="preserve">), equivalent to</w:t>
      </w:r>
      <w:r>
        <w:t xml:space="preserve"> </w:t>
      </w:r>
      <m:oMath>
        <m:r>
          <m:t>12</m:t>
        </m:r>
        <m:r>
          <m:rPr>
            <m:sty m:val="p"/>
          </m:rPr>
          <m:t>−</m:t>
        </m:r>
        <m:sSub>
          <m:e>
            <m:r>
              <m:t>x</m:t>
            </m:r>
          </m:e>
          <m:sub>
            <m:r>
              <m:t>s</m:t>
            </m:r>
          </m:sub>
        </m:sSub>
      </m:oMath>
      <w:r>
        <w:t xml:space="preserve"> </w:t>
      </w:r>
      <w:r>
        <w:t xml:space="preserve">in the summer seed survival in matrix</w:t>
      </w:r>
      <w:r>
        <w:t xml:space="preserve"> </w:t>
      </w:r>
      <m:oMath>
        <m:sSub>
          <m:e>
            <m:r>
              <m:t>B</m:t>
            </m:r>
          </m:e>
          <m:sub>
            <m:r>
              <m:t>σ</m:t>
            </m:r>
          </m:sub>
        </m:sSub>
      </m:oMath>
      <w:r>
        <w:t xml:space="preserve">.</w:t>
      </w:r>
    </w:p>
    <w:p>
      <w:pPr>
        <w:pStyle w:val="BodyText"/>
      </w:pPr>
      <m:oMathPara>
        <m:oMathParaPr>
          <m:jc m:val="center"/>
        </m:oMathParaPr>
        <m:oMath>
          <m:sSub>
            <m:e>
              <m:r>
                <m:rPr>
                  <m:sty m:val="b"/>
                </m:rPr>
                <m:t>B</m:t>
              </m:r>
            </m:e>
            <m:sub>
              <m:r>
                <m:rPr>
                  <m:sty m:val="b"/>
                </m:rPr>
                <m:t>ω</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ω</m:t>
                        </m:r>
                      </m:e>
                      <m:sub>
                        <m:r>
                          <m:t>11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ω</m:t>
                        </m:r>
                      </m:e>
                      <m:sub>
                        <m:r>
                          <m:t>22</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31"/>
    <w:bookmarkEnd w:id="32"/>
    <w:bookmarkStart w:id="34" w:name="empirically-measured-data"/>
    <w:p>
      <w:pPr>
        <w:pStyle w:val="Heading4"/>
      </w:pPr>
      <w:r>
        <w:t xml:space="preserve">Empirically measured data</w:t>
      </w:r>
    </w:p>
    <w:bookmarkStart w:id="33" w:name="seedling-recruitment"/>
    <w:p>
      <w:pPr>
        <w:pStyle w:val="Heading5"/>
      </w:pPr>
      <w:r>
        <w:t xml:space="preserve">Seedling recruitment</w:t>
      </w:r>
    </w:p>
    <w:p>
      <w:pPr>
        <w:pStyle w:val="FirstParagraph"/>
      </w:pPr>
      <w:r>
        <w:t xml:space="preserve">The emergence proportions calculated from step 5 here are lined on the first column of block</w:t>
      </w:r>
      <w:r>
        <w:t xml:space="preserve"> </w:t>
      </w:r>
      <m:oMath>
        <m:sSub>
          <m:e>
            <m:r>
              <m:t>M</m:t>
            </m:r>
          </m:e>
          <m:sub>
            <m:r>
              <m:t>s</m:t>
            </m:r>
            <m:r>
              <m:rPr>
                <m:sty m:val="p"/>
              </m:rPr>
              <m:t>,</m:t>
            </m:r>
            <m:r>
              <m:t>p</m:t>
            </m:r>
          </m:sub>
        </m:sSub>
      </m:oMath>
      <w:r>
        <w:t xml:space="preserve"> </w:t>
      </w:r>
      <w:r>
        <w:t xml:space="preserve">in matrix</w:t>
      </w:r>
      <w:r>
        <w:t xml:space="preserve"> </w:t>
      </w:r>
      <m:oMath>
        <m:sSub>
          <m:e>
            <m:r>
              <m:t>B</m:t>
            </m:r>
          </m:e>
          <m:sub>
            <m:r>
              <m:t>γ</m:t>
            </m:r>
          </m:sub>
        </m:sSub>
      </m:oMath>
      <w:r>
        <w:t xml:space="preserve">.</w:t>
      </w:r>
      <w:r>
        <w:t xml:space="preserve"> </w:t>
      </w:r>
      <m:oMath>
        <m:r>
          <m:t>1</m:t>
        </m:r>
        <m:r>
          <m:rPr>
            <m:sty m:val="p"/>
          </m:rPr>
          <m:t>−</m:t>
        </m:r>
        <m:r>
          <m:t>s</m:t>
        </m:r>
        <m:r>
          <m:t>u</m:t>
        </m:r>
        <m:sSubSup>
          <m:e>
            <m:r>
              <m:t>m</m:t>
            </m:r>
          </m:e>
          <m:sub>
            <m:r>
              <m:t>k</m:t>
            </m:r>
            <m:r>
              <m:rPr>
                <m:sty m:val="p"/>
              </m:rPr>
              <m:t>=</m:t>
            </m:r>
            <m:r>
              <m:t>1</m:t>
            </m:r>
          </m:sub>
          <m:sup>
            <m:r>
              <m:t>6</m:t>
            </m:r>
          </m:sup>
        </m:sSubSup>
        <m:sSub>
          <m:e>
            <m:r>
              <m:t>γ</m:t>
            </m:r>
          </m:e>
          <m:sub>
            <m:r>
              <m:t>k</m:t>
            </m:r>
          </m:sub>
        </m:sSub>
      </m:oMath>
      <w:r>
        <w:t xml:space="preserve"> </w:t>
      </w:r>
      <w:r>
        <w:t xml:space="preserve">represents the non-emerging seeds proportion.</w:t>
      </w:r>
    </w:p>
    <w:p>
      <w:pPr>
        <w:pStyle w:val="BodyText"/>
      </w:pPr>
      <m:oMathPara>
        <m:oMathParaPr>
          <m:jc m:val="center"/>
        </m:oMathParaPr>
        <m:oMath>
          <m:sSub>
            <m:e>
              <m:r>
                <m:rPr>
                  <m:sty m:val="b"/>
                </m:rPr>
                <m:t>B</m:t>
              </m:r>
            </m:e>
            <m:sub>
              <m:r>
                <m:rPr>
                  <m:sty m:val="b"/>
                </m:rPr>
                <m:t>γ</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r>
                      <m:rPr>
                        <m:sty m:val="p"/>
                      </m:rPr>
                      <m:t>−</m:t>
                    </m:r>
                    <m:nary>
                      <m:naryPr>
                        <m:chr m:val="∑"/>
                        <m:limLoc m:val="undOvr"/>
                        <m:subHide m:val="0"/>
                        <m:supHide m:val="0"/>
                      </m:naryPr>
                      <m:sub>
                        <m:r>
                          <m:t>k</m:t>
                        </m:r>
                        <m:r>
                          <m:rPr>
                            <m:sty m:val="p"/>
                          </m:rPr>
                          <m:t>=</m:t>
                        </m:r>
                        <m:r>
                          <m:t>1</m:t>
                        </m:r>
                      </m:sub>
                      <m:sup>
                        <m:r>
                          <m:t>6</m:t>
                        </m:r>
                      </m:sup>
                      <m:e>
                        <m:sSub>
                          <m:e>
                            <m:r>
                              <m:t>γ</m:t>
                            </m:r>
                          </m:e>
                          <m:sub>
                            <m:r>
                              <m:t>k</m:t>
                            </m:r>
                          </m:sub>
                        </m:sSub>
                      </m:e>
                    </m:nary>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γ</m:t>
                        </m:r>
                      </m:e>
                      <m:sub>
                        <m:r>
                          <m:t>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sSub>
                      <m:e>
                        <m:r>
                          <m:t>γ</m:t>
                        </m:r>
                      </m:e>
                      <m:sub>
                        <m:r>
                          <m:t>6</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proportion of seed emergence from the top 0-2 cm soil seedbank stratum in each crop identity crossed with corn weed management was calculated with the following steps:</w:t>
      </w:r>
    </w:p>
    <w:p>
      <w:pPr>
        <w:pStyle w:val="BodyText"/>
      </w:pPr>
      <w:r>
        <w:t xml:space="preserve">1 - Estimate the 0-2 cm and 2-20 cm seedbank densities with the soil seedbank samples collected before post-harvest tillage. A seed column at a particular sub-annual period is comprised of the 0-2 cm and 2-20 cm soil stratum seed densities,</w:t>
      </w:r>
      <w:r>
        <w:t xml:space="preserve"> </w:t>
      </w:r>
      <m:oMath>
        <m:sSub>
          <m:e>
            <m:r>
              <m:t>N</m:t>
            </m:r>
          </m:e>
          <m:sub>
            <m:r>
              <m:t>h</m:t>
            </m:r>
          </m:sub>
        </m:sSub>
        <m:r>
          <m:rPr>
            <m:sty m:val="p"/>
          </m:rPr>
          <m:t>=</m:t>
        </m:r>
        <m:d>
          <m:dPr>
            <m:begChr m:val="["/>
            <m:endChr m:val="]"/>
            <m:sepChr m:val=""/>
            <m:grow/>
          </m:dPr>
          <m:e>
            <m:sSub>
              <m:e>
                <m:r>
                  <m:t>s</m:t>
                </m:r>
              </m:e>
              <m:sub>
                <m:r>
                  <m:t>t</m:t>
                </m:r>
              </m:sub>
            </m:sSub>
            <m:r>
              <m:rPr>
                <m:sty m:val="p"/>
              </m:rPr>
              <m:t>,</m:t>
            </m:r>
            <m:sSub>
              <m:e>
                <m:r>
                  <m:t>s</m:t>
                </m:r>
              </m:e>
              <m:sub>
                <m:r>
                  <m:t>b</m:t>
                </m:r>
              </m:sub>
            </m:sSub>
          </m:e>
        </m:d>
      </m:oMath>
      <w:r>
        <w:t xml:space="preserve">.</w:t>
      </w:r>
    </w:p>
    <w:p>
      <w:pPr>
        <w:pStyle w:val="BodyText"/>
      </w:pPr>
      <w:r>
        <w:t xml:space="preserve">From steps 2 through 4, the seed column in sub-period h,</w:t>
      </w:r>
      <w:r>
        <w:t xml:space="preserve"> </w:t>
      </w:r>
      <m:oMath>
        <m:sSub>
          <m:e>
            <m:r>
              <m:t>N</m:t>
            </m:r>
          </m:e>
          <m:sub>
            <m:r>
              <m:t>h</m:t>
            </m:r>
          </m:sub>
        </m:sSub>
      </m:oMath>
      <w:r>
        <w:t xml:space="preserve">, was transitioned from one period to the next with the general matrix multiplication of</w:t>
      </w:r>
      <w:r>
        <w:t xml:space="preserve"> </w:t>
      </w:r>
      <m:oMath>
        <m:sSub>
          <m:e>
            <m:r>
              <m:t>N</m:t>
            </m:r>
          </m:e>
          <m:sub>
            <m:r>
              <m:t>h</m:t>
            </m:r>
            <m:r>
              <m:rPr>
                <m:sty m:val="p"/>
              </m:rPr>
              <m:t>+</m:t>
            </m:r>
            <m:r>
              <m:t>1</m:t>
            </m:r>
          </m:sub>
        </m:sSub>
        <m:r>
          <m:rPr>
            <m:sty m:val="p"/>
          </m:rPr>
          <m:t>=</m:t>
        </m:r>
        <m:sSub>
          <m:e>
            <m:r>
              <m:t>B</m:t>
            </m:r>
          </m:e>
          <m:sub>
            <m:r>
              <m:t>h</m:t>
            </m:r>
          </m:sub>
        </m:sSub>
        <m:sSub>
          <m:e>
            <m:r>
              <m:t>N</m:t>
            </m:r>
          </m:e>
          <m:sub>
            <m:r>
              <m:t>h</m:t>
            </m:r>
          </m:sub>
        </m:sSub>
      </m:oMath>
      <w:r>
        <w:t xml:space="preserve"> </w:t>
      </w:r>
      <w:r>
        <w:t xml:space="preserve">by</w:t>
      </w:r>
      <w:r>
        <w:t xml:space="preserve"> </w:t>
      </w:r>
      <w:r>
        <w:t xml:space="preserve">Caswell (2001)</w:t>
      </w:r>
      <w:r>
        <w:t xml:space="preserve">.</w:t>
      </w:r>
    </w:p>
    <w:p>
      <w:pPr>
        <w:pStyle w:val="BodyText"/>
      </w:pPr>
      <w:r>
        <w:t xml:space="preserve">2 - Estimate post-harvest tillage induced seed vertical redistribution with resized Seed Chaser</w:t>
      </w:r>
      <w:r>
        <w:t xml:space="preserve"> </w:t>
      </w:r>
      <w:r>
        <w:t xml:space="preserve">(Spokas et al. 2007)</w:t>
      </w:r>
      <w:r>
        <w:t xml:space="preserve"> </w:t>
      </w:r>
      <w:r>
        <w:t xml:space="preserve">chisel and moldboard matrices, as detailed in the</w:t>
      </w:r>
      <w:r>
        <w:t xml:space="preserve"> </w:t>
      </w:r>
      <w:r>
        <w:rPr>
          <w:iCs/>
          <w:i/>
        </w:rPr>
        <w:t xml:space="preserve">Post-harvest tillage induced seed vertical movement</w:t>
      </w:r>
      <w:r>
        <w:t xml:space="preserve">, to yield</w:t>
      </w:r>
      <w:r>
        <w:t xml:space="preserve"> </w:t>
      </w:r>
      <m:oMath>
        <m:sSub>
          <m:e>
            <m:r>
              <m:t>N</m:t>
            </m:r>
          </m:e>
          <m:sub>
            <m:r>
              <m:t>τ</m:t>
            </m:r>
            <m:d>
              <m:dPr>
                <m:begChr m:val="("/>
                <m:endChr m:val=")"/>
                <m:sepChr m:val=""/>
                <m:grow/>
              </m:dPr>
              <m:e>
                <m:r>
                  <m:t>f</m:t>
                </m:r>
              </m:e>
            </m:d>
          </m:sub>
        </m:sSub>
      </m:oMath>
    </w:p>
    <w:p>
      <w:pPr>
        <w:pStyle w:val="BodyText"/>
      </w:pPr>
      <w:r>
        <w:t xml:space="preserve">3 - Adapt overwinter survival rates as previously explain in he</w:t>
      </w:r>
      <w:r>
        <w:t xml:space="preserve"> </w:t>
      </w:r>
      <w:r>
        <w:rPr>
          <w:iCs/>
          <w:i/>
        </w:rPr>
        <w:t xml:space="preserve">Overwinter survival section</w:t>
      </w:r>
      <w:r>
        <w:t xml:space="preserve"> </w:t>
      </w:r>
      <w:r>
        <w:t xml:space="preserve">and apply it on</w:t>
      </w:r>
      <w:r>
        <w:t xml:space="preserve"> </w:t>
      </w:r>
      <m:oMath>
        <m:sSub>
          <m:e>
            <m:r>
              <m:t>N</m:t>
            </m:r>
          </m:e>
          <m:sub>
            <m:r>
              <m:t>τ</m:t>
            </m:r>
            <m:d>
              <m:dPr>
                <m:begChr m:val="("/>
                <m:endChr m:val=")"/>
                <m:sepChr m:val=""/>
                <m:grow/>
              </m:dPr>
              <m:e>
                <m:r>
                  <m:t>f</m:t>
                </m:r>
              </m:e>
            </m:d>
          </m:sub>
        </m:sSub>
      </m:oMath>
      <w:r>
        <w:t xml:space="preserve"> </w:t>
      </w:r>
      <w:r>
        <w:t xml:space="preserve">to yield</w:t>
      </w:r>
      <w:r>
        <w:t xml:space="preserve"> </w:t>
      </w:r>
      <m:oMath>
        <m:sSub>
          <m:e>
            <m:r>
              <m:t>N</m:t>
            </m:r>
          </m:e>
          <m:sub>
            <m:r>
              <m:t>ω</m:t>
            </m:r>
          </m:sub>
        </m:sSub>
      </m:oMath>
      <w:r>
        <w:t xml:space="preserve">. Corn weed management did not affect waterhemp’s first cohort emergence in the same crop environment (Appendix), so the same value of</w:t>
      </w:r>
      <w:r>
        <w:t xml:space="preserve"> </w:t>
      </w:r>
      <m:oMath>
        <m:sSub>
          <m:e>
            <m:r>
              <m:t>x</m:t>
            </m:r>
          </m:e>
          <m:sub>
            <m:r>
              <m:t>s</m:t>
            </m:r>
          </m:sub>
        </m:sSub>
      </m:oMath>
      <w:r>
        <w:t xml:space="preserve"> </w:t>
      </w:r>
      <w:r>
        <w:t xml:space="preserve">was used for the same crop identity.</w:t>
      </w:r>
    </w:p>
    <w:p>
      <w:pPr>
        <w:pStyle w:val="BodyText"/>
      </w:pPr>
      <w:r>
        <w:t xml:space="preserve">4 - Estimate pre-planting tillage induced seed vertical redistribution with resized Seed Chaser</w:t>
      </w:r>
      <w:r>
        <w:t xml:space="preserve"> </w:t>
      </w:r>
      <w:r>
        <w:t xml:space="preserve">(Spokas et al. 2007)</w:t>
      </w:r>
      <w:r>
        <w:t xml:space="preserve"> </w:t>
      </w:r>
      <w:r>
        <w:t xml:space="preserve">field cultivator matrix, similar to step 2 to yield</w:t>
      </w:r>
      <w:r>
        <w:t xml:space="preserve"> </w:t>
      </w:r>
      <m:oMath>
        <m:sSub>
          <m:e>
            <m:r>
              <m:t>N</m:t>
            </m:r>
          </m:e>
          <m:sub>
            <m:r>
              <m:t>τ</m:t>
            </m:r>
            <m:d>
              <m:dPr>
                <m:begChr m:val="("/>
                <m:endChr m:val=")"/>
                <m:sepChr m:val=""/>
                <m:grow/>
              </m:dPr>
              <m:e>
                <m:r>
                  <m:t>s</m:t>
                </m:r>
              </m:e>
            </m:d>
          </m:sub>
        </m:sSub>
      </m:oMath>
      <w:r>
        <w:t xml:space="preserve">.</w:t>
      </w:r>
    </w:p>
    <w:p>
      <w:pPr>
        <w:pStyle w:val="BodyText"/>
      </w:pPr>
      <w:r>
        <w:t xml:space="preserve">5 - Divide the seedling density in each cohort,</w:t>
      </w:r>
      <w:r>
        <w:t xml:space="preserve"> </w:t>
      </w:r>
      <m:oMath>
        <m:sSub>
          <m:e>
            <m:r>
              <m:t>l</m:t>
            </m:r>
          </m:e>
          <m:sub>
            <m:r>
              <m:t>k</m:t>
            </m:r>
          </m:sub>
        </m:sSub>
      </m:oMath>
      <w:r>
        <w:t xml:space="preserve">, by</w:t>
      </w:r>
      <w:r>
        <w:t xml:space="preserve"> </w:t>
      </w:r>
      <m:oMath>
        <m:sSub>
          <m:e>
            <m:r>
              <m:t>s</m:t>
            </m:r>
          </m:e>
          <m:sub>
            <m:r>
              <m:t>t</m:t>
            </m:r>
          </m:sub>
        </m:sSub>
      </m:oMath>
      <w:r>
        <w:t xml:space="preserve">, the top soil stratum seed density to yield</w:t>
      </w:r>
      <w:r>
        <w:t xml:space="preserve"> </w:t>
      </w:r>
      <m:oMath>
        <m:sSub>
          <m:e>
            <m:r>
              <m:t>γ</m:t>
            </m:r>
          </m:e>
          <m:sub>
            <m:r>
              <m:t>k</m:t>
            </m:r>
          </m:sub>
        </m:sSub>
      </m:oMath>
      <w:r>
        <w:t xml:space="preserve">.</w:t>
      </w:r>
    </w:p>
    <w:bookmarkEnd w:id="33"/>
    <w:bookmarkEnd w:id="34"/>
    <w:bookmarkEnd w:id="35"/>
    <w:bookmarkStart w:id="41" w:name="variance-of-the-lower-level-parameters"/>
    <w:p>
      <w:pPr>
        <w:pStyle w:val="Heading3"/>
      </w:pPr>
      <w:r>
        <w:t xml:space="preserve">Variance of the lower-level parameters</w:t>
      </w:r>
    </w:p>
    <w:p>
      <w:pPr>
        <w:pStyle w:val="FirstParagraph"/>
      </w:pPr>
      <w:r>
        <w:t xml:space="preserve">The variance-covariance matrix of each matrix</w:t>
      </w:r>
      <w:r>
        <w:t xml:space="preserve"> </w:t>
      </w:r>
      <m:oMath>
        <m:sSub>
          <m:e>
            <m:r>
              <m:t>B</m:t>
            </m:r>
          </m:e>
          <m:sub>
            <m:r>
              <m:t>h</m:t>
            </m:r>
          </m:sub>
        </m:sSub>
      </m:oMath>
      <w:r>
        <w:t xml:space="preserve">,</w:t>
      </w:r>
      <w:r>
        <w:t xml:space="preserve"> </w:t>
      </w:r>
      <m:oMath>
        <m:sSub>
          <m:e>
            <m:r>
              <m:t>V</m:t>
            </m:r>
          </m:e>
          <m:sub>
            <m:r>
              <m:t>h</m:t>
            </m:r>
          </m:sub>
        </m:sSub>
      </m:oMath>
      <w:r>
        <w:t xml:space="preserve">, was used to calculate the variance of</w:t>
      </w:r>
      <w:r>
        <w:t xml:space="preserve"> </w:t>
      </w:r>
      <m:oMath>
        <m:r>
          <m:t>λ</m:t>
        </m:r>
      </m:oMath>
      <w:r>
        <w:t xml:space="preserve">.</w:t>
      </w:r>
      <w:r>
        <w:t xml:space="preserve"> </w:t>
      </w:r>
      <m:oMath>
        <m:sSub>
          <m:e>
            <m:r>
              <m:t>V</m:t>
            </m:r>
          </m:e>
          <m:sub>
            <m:r>
              <m:t>h</m:t>
            </m:r>
          </m:sub>
        </m:sSub>
      </m:oMath>
      <w:r>
        <w:t xml:space="preserve"> </w:t>
      </w:r>
      <w:r>
        <w:t xml:space="preserve">dimension depended on the dimension of the non-zero block in the relevant</w:t>
      </w:r>
      <w:r>
        <w:t xml:space="preserve"> </w:t>
      </w:r>
      <m:oMath>
        <m:sSub>
          <m:e>
            <m:r>
              <m:t>B</m:t>
            </m:r>
          </m:e>
          <m:sub>
            <m:r>
              <m:t>h</m:t>
            </m:r>
          </m:sub>
        </m:sSub>
      </m:oMath>
      <w:r>
        <w:t xml:space="preserve"> </w:t>
      </w:r>
      <w:r>
        <w:t xml:space="preserve">matrix. All the</w:t>
      </w:r>
      <w:r>
        <w:t xml:space="preserve"> </w:t>
      </w:r>
      <m:oMath>
        <m:sSub>
          <m:e>
            <m:r>
              <m:t>V</m:t>
            </m:r>
          </m:e>
          <m:sub>
            <m:r>
              <m:t>h</m:t>
            </m:r>
          </m:sub>
        </m:sSub>
      </m:oMath>
      <w:r>
        <w:t xml:space="preserve"> </w:t>
      </w:r>
      <w:r>
        <w:t xml:space="preserve">matrices, but</w:t>
      </w:r>
      <w:r>
        <w:t xml:space="preserve"> </w:t>
      </w:r>
      <m:oMath>
        <m:sSub>
          <m:e>
            <m:r>
              <m:t>V</m:t>
            </m:r>
          </m:e>
          <m:sub>
            <m:r>
              <m:t>τ</m:t>
            </m:r>
          </m:sub>
        </m:sSub>
      </m:oMath>
      <w:r>
        <w:t xml:space="preserve"> </w:t>
      </w:r>
      <w:r>
        <w:t xml:space="preserve">and</w:t>
      </w:r>
      <w:r>
        <w:t xml:space="preserve"> </w:t>
      </w:r>
      <m:oMath>
        <m:sSub>
          <m:e>
            <m:r>
              <m:t>V</m:t>
            </m:r>
          </m:e>
          <m:sub>
            <m:r>
              <m:t>γ</m:t>
            </m:r>
          </m:sub>
        </m:sSub>
      </m:oMath>
      <w:r>
        <w:t xml:space="preserve">, are diagonal. Variance of zero is assumed to be zero.</w:t>
      </w:r>
    </w:p>
    <w:bookmarkStart w:id="36" w:name="X05d8dc27fea4b4b5a95161c906aeb6f9175f2c2"/>
    <w:p>
      <w:pPr>
        <w:pStyle w:val="Heading4"/>
      </w:pPr>
      <w:r>
        <w:t xml:space="preserve">Pre-planting and post-harvest tillage induced seed movement</w:t>
      </w:r>
    </w:p>
    <w:p>
      <w:pPr>
        <w:pStyle w:val="FirstParagraph"/>
      </w:pPr>
      <w:r>
        <w:t xml:space="preserve">The variance-covariance matrix of matrices</w:t>
      </w:r>
      <w:r>
        <w:t xml:space="preserve"> </w:t>
      </w:r>
      <m:oMath>
        <m:sSub>
          <m:e>
            <m:r>
              <m:t>B</m:t>
            </m:r>
          </m:e>
          <m:sub>
            <m:r>
              <m:t>τ</m:t>
            </m:r>
            <m:d>
              <m:dPr>
                <m:begChr m:val="("/>
                <m:endChr m:val=")"/>
                <m:sepChr m:val=""/>
                <m:grow/>
              </m:dPr>
              <m:e>
                <m:r>
                  <m:t>s</m:t>
                </m:r>
              </m:e>
            </m:d>
          </m:sub>
        </m:sSub>
      </m:oMath>
      <w:r>
        <w:t xml:space="preserve"> </w:t>
      </w:r>
      <w:r>
        <w:t xml:space="preserve">and</w:t>
      </w:r>
      <w:r>
        <w:t xml:space="preserve"> </w:t>
      </w:r>
      <m:oMath>
        <m:sSub>
          <m:e>
            <m:r>
              <m:t>B</m:t>
            </m:r>
          </m:e>
          <m:sub>
            <m:r>
              <m:t>τ</m:t>
            </m:r>
            <m:d>
              <m:dPr>
                <m:begChr m:val="("/>
                <m:endChr m:val=")"/>
                <m:sepChr m:val=""/>
                <m:grow/>
              </m:dPr>
              <m:e>
                <m:r>
                  <m:t>f</m:t>
                </m:r>
              </m:e>
            </m:d>
          </m:sub>
        </m:sSub>
      </m:oMath>
      <w:r>
        <w:t xml:space="preserve"> </w:t>
      </w:r>
      <w:r>
        <w:t xml:space="preserve">are 2x2 because these periods involved seed dynamics only.</w:t>
      </w:r>
      <w:r>
        <w:t xml:space="preserve"> </w:t>
      </w:r>
      <m:oMath>
        <m:sSub>
          <m:e>
            <m:r>
              <m:t>v</m:t>
            </m:r>
          </m:e>
          <m:sub>
            <m:sSub>
              <m:e>
                <m:r>
                  <m:t>τ</m:t>
                </m:r>
              </m:e>
              <m:sub>
                <m:r>
                  <m:t>i</m:t>
                </m:r>
                <m:r>
                  <m:rPr>
                    <m:sty m:val="p"/>
                  </m:rPr>
                  <m:t>,</m:t>
                </m:r>
                <m:r>
                  <m:t>j</m:t>
                </m:r>
              </m:sub>
            </m:sSub>
          </m:sub>
        </m:sSub>
        <m:r>
          <m:rPr>
            <m:sty m:val="p"/>
          </m:rPr>
          <m:t>=</m:t>
        </m:r>
        <m:f>
          <m:fPr>
            <m:type m:val="bar"/>
          </m:fPr>
          <m:num>
            <m:sSub>
              <m:e>
                <m:r>
                  <m:t>τ</m:t>
                </m:r>
              </m:e>
              <m:sub>
                <m:r>
                  <m:t>i</m:t>
                </m:r>
              </m:sub>
            </m:sSub>
            <m:d>
              <m:dPr>
                <m:begChr m:val="("/>
                <m:endChr m:val=")"/>
                <m:sepChr m:val=""/>
                <m:grow/>
              </m:dPr>
              <m:e>
                <m:r>
                  <m:t>1</m:t>
                </m:r>
                <m:r>
                  <m:rPr>
                    <m:sty m:val="p"/>
                  </m:rPr>
                  <m:t>−</m:t>
                </m:r>
                <m:sSub>
                  <m:e>
                    <m:r>
                      <m:t>τ</m:t>
                    </m:r>
                  </m:e>
                  <m:sub>
                    <m:r>
                      <m:t>i</m:t>
                    </m:r>
                  </m:sub>
                </m:sSub>
              </m:e>
            </m:d>
          </m:num>
          <m:den>
            <m:sSub>
              <m:e>
                <m:r>
                  <m:t>n</m:t>
                </m:r>
              </m:e>
              <m:sub>
                <m:r>
                  <m:t>j</m:t>
                </m:r>
              </m:sub>
            </m:sSub>
          </m:den>
        </m:f>
      </m:oMath>
      <w:r>
        <w:t xml:space="preserve"> </w:t>
      </w:r>
      <w:r>
        <w:t xml:space="preserve">and</w:t>
      </w:r>
      <w:r>
        <w:t xml:space="preserve"> </w:t>
      </w:r>
      <m:oMath>
        <m:sSub>
          <m:e>
            <m:r>
              <m:t>ρ</m:t>
            </m:r>
          </m:e>
          <m:sub>
            <m:sSub>
              <m:e>
                <m:r>
                  <m:t>τ</m:t>
                </m:r>
              </m:e>
              <m:sub>
                <m:r>
                  <m:t>i</m:t>
                </m:r>
                <m:r>
                  <m:rPr>
                    <m:sty m:val="p"/>
                  </m:rPr>
                  <m:t>,</m:t>
                </m:r>
                <m:r>
                  <m:t>j</m:t>
                </m:r>
              </m:sub>
            </m:sSub>
          </m:sub>
        </m:sSub>
        <m:r>
          <m:rPr>
            <m:sty m:val="p"/>
          </m:rPr>
          <m:t>=</m:t>
        </m:r>
        <m:r>
          <m:rPr>
            <m:sty m:val="p"/>
          </m:rPr>
          <m:t>−</m:t>
        </m:r>
        <m:f>
          <m:fPr>
            <m:type m:val="bar"/>
          </m:fPr>
          <m:num>
            <m:sSub>
              <m:e>
                <m:r>
                  <m:t>τ</m:t>
                </m:r>
              </m:e>
              <m:sub>
                <m:r>
                  <m:t>i</m:t>
                </m:r>
              </m:sub>
            </m:sSub>
            <m:sSub>
              <m:e>
                <m:r>
                  <m:t>τ</m:t>
                </m:r>
              </m:e>
              <m:sub>
                <m:r>
                  <m:t>j</m:t>
                </m:r>
              </m:sub>
            </m:sSub>
          </m:num>
          <m:den>
            <m:sSub>
              <m:e>
                <m:r>
                  <m:t>n</m:t>
                </m:r>
              </m:e>
              <m:sub>
                <m:r>
                  <m:t>j</m:t>
                </m:r>
              </m:sub>
            </m:sSub>
          </m:den>
        </m:f>
      </m:oMath>
      <w:r>
        <w:t xml:space="preserve">, where</w:t>
      </w:r>
      <w:r>
        <w:t xml:space="preserve"> </w:t>
      </w:r>
      <m:oMath>
        <m:sSub>
          <m:e>
            <m:r>
              <m:t>n</m:t>
            </m:r>
          </m:e>
          <m:sub>
            <m:r>
              <m:t>j</m:t>
            </m:r>
          </m:sub>
        </m:sSub>
      </m:oMath>
      <w:r>
        <w:t xml:space="preserve"> </w:t>
      </w:r>
      <w:r>
        <w:t xml:space="preserve">is the column summation of all the seeds in the relevant</w:t>
      </w:r>
      <w:r>
        <w:t xml:space="preserve"> </w:t>
      </w:r>
      <m:oMath>
        <m:sSub>
          <m:e>
            <m:r>
              <m:t>B</m:t>
            </m:r>
          </m:e>
          <m:sub>
            <m:r>
              <m:t>τ</m:t>
            </m:r>
          </m:sub>
        </m:sSub>
      </m:oMath>
      <w:r>
        <w:t xml:space="preserve"> </w:t>
      </w:r>
      <w:r>
        <w:t xml:space="preserve">matrix.</w:t>
      </w:r>
    </w:p>
    <w:p>
      <w:pPr>
        <w:pStyle w:val="BodyText"/>
      </w:pPr>
      <m:oMathPara>
        <m:oMathParaPr>
          <m:jc m:val="center"/>
        </m:oMathParaPr>
        <m:oMath>
          <m:sSub>
            <m:e>
              <m:r>
                <m:rPr>
                  <m:sty m:val="b"/>
                </m:rPr>
                <m:t>V</m:t>
              </m:r>
            </m:e>
            <m:sub>
              <m:r>
                <m:rPr>
                  <m:sty m:val="b"/>
                </m:rPr>
                <m:t>τ</m:t>
              </m:r>
              <m:d>
                <m:dPr>
                  <m:begChr m:val="("/>
                  <m:endChr m:val=")"/>
                  <m:sepChr m:val=""/>
                  <m:grow/>
                </m:dPr>
                <m:e>
                  <m:r>
                    <m:rPr>
                      <m:sty m:val="b"/>
                    </m:rPr>
                    <m:t>s</m:t>
                  </m:r>
                </m:e>
              </m:d>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τ</m:t>
                            </m:r>
                          </m:e>
                          <m:sub>
                            <m:r>
                              <m:t>11</m:t>
                            </m:r>
                            <m:r>
                              <m:rPr>
                                <m:sty m:val="p"/>
                              </m:rPr>
                              <m:t>,</m:t>
                            </m:r>
                            <m:r>
                              <m:t>s</m:t>
                            </m:r>
                          </m:sub>
                        </m:sSub>
                      </m:sub>
                    </m:sSub>
                  </m:e>
                  <m:e>
                    <m:sSub>
                      <m:e>
                        <m:r>
                          <m:t>ρ</m:t>
                        </m:r>
                      </m:e>
                      <m:sub>
                        <m:sSub>
                          <m:e>
                            <m:r>
                              <m:t>τ</m:t>
                            </m:r>
                          </m:e>
                          <m:sub>
                            <m:r>
                              <m:t>21</m:t>
                            </m:r>
                            <m:r>
                              <m:rPr>
                                <m:sty m:val="p"/>
                              </m:rPr>
                              <m:t>,</m:t>
                            </m:r>
                            <m:r>
                              <m:t>s</m:t>
                            </m:r>
                          </m:sub>
                        </m:sSub>
                      </m:sub>
                    </m:sSub>
                  </m:e>
                </m:mr>
                <m:mr>
                  <m:e>
                    <m:sSub>
                      <m:e>
                        <m:r>
                          <m:t>ρ</m:t>
                        </m:r>
                      </m:e>
                      <m:sub>
                        <m:sSub>
                          <m:e>
                            <m:r>
                              <m:t>τ</m:t>
                            </m:r>
                          </m:e>
                          <m:sub>
                            <m:r>
                              <m:t>12</m:t>
                            </m:r>
                            <m:r>
                              <m:rPr>
                                <m:sty m:val="p"/>
                              </m:rPr>
                              <m:t>,</m:t>
                            </m:r>
                            <m:r>
                              <m:t>s</m:t>
                            </m:r>
                          </m:sub>
                        </m:sSub>
                      </m:sub>
                    </m:sSub>
                  </m:e>
                  <m:e>
                    <m:sSub>
                      <m:e>
                        <m:r>
                          <m:t>v</m:t>
                        </m:r>
                      </m:e>
                      <m:sub>
                        <m:sSub>
                          <m:e>
                            <m:r>
                              <m:t>τ</m:t>
                            </m:r>
                          </m:e>
                          <m:sub>
                            <m:r>
                              <m:t>22</m:t>
                            </m:r>
                            <m:r>
                              <m:rPr>
                                <m:sty m:val="p"/>
                              </m:rPr>
                              <m:t>,</m:t>
                            </m:r>
                            <m:r>
                              <m:t>s</m:t>
                            </m:r>
                          </m:sub>
                        </m:sSub>
                      </m:sub>
                    </m:sSub>
                  </m:e>
                </m:mr>
              </m:m>
            </m:e>
          </m:d>
        </m:oMath>
      </m:oMathPara>
    </w:p>
    <w:p>
      <w:pPr>
        <w:pStyle w:val="FirstParagraph"/>
      </w:pPr>
      <w:r>
        <w:t xml:space="preserve">and</w:t>
      </w:r>
    </w:p>
    <w:p>
      <w:pPr>
        <w:pStyle w:val="BodyText"/>
      </w:pPr>
      <m:oMathPara>
        <m:oMathParaPr>
          <m:jc m:val="center"/>
        </m:oMathParaPr>
        <m:oMath>
          <m:sSub>
            <m:e>
              <m:r>
                <m:rPr>
                  <m:sty m:val="b"/>
                </m:rPr>
                <m:t>V</m:t>
              </m:r>
            </m:e>
            <m:sub>
              <m:r>
                <m:rPr>
                  <m:sty m:val="b"/>
                </m:rPr>
                <m:t>τ</m:t>
              </m:r>
              <m:d>
                <m:dPr>
                  <m:begChr m:val="("/>
                  <m:endChr m:val=")"/>
                  <m:sepChr m:val=""/>
                  <m:grow/>
                </m:dPr>
                <m:e>
                  <m:r>
                    <m:rPr>
                      <m:sty m:val="b"/>
                    </m:rPr>
                    <m:t>f</m:t>
                  </m:r>
                </m:e>
              </m:d>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τ</m:t>
                            </m:r>
                          </m:e>
                          <m:sub>
                            <m:r>
                              <m:t>11</m:t>
                            </m:r>
                            <m:r>
                              <m:rPr>
                                <m:sty m:val="p"/>
                              </m:rPr>
                              <m:t>,</m:t>
                            </m:r>
                            <m:r>
                              <m:t>f</m:t>
                            </m:r>
                          </m:sub>
                        </m:sSub>
                      </m:sub>
                    </m:sSub>
                  </m:e>
                  <m:e>
                    <m:sSub>
                      <m:e>
                        <m:r>
                          <m:t>ρ</m:t>
                        </m:r>
                      </m:e>
                      <m:sub>
                        <m:sSub>
                          <m:e>
                            <m:r>
                              <m:t>τ</m:t>
                            </m:r>
                          </m:e>
                          <m:sub>
                            <m:r>
                              <m:t>21</m:t>
                            </m:r>
                            <m:r>
                              <m:rPr>
                                <m:sty m:val="p"/>
                              </m:rPr>
                              <m:t>,</m:t>
                            </m:r>
                            <m:r>
                              <m:t>f</m:t>
                            </m:r>
                          </m:sub>
                        </m:sSub>
                      </m:sub>
                    </m:sSub>
                  </m:e>
                </m:mr>
                <m:mr>
                  <m:e>
                    <m:sSub>
                      <m:e>
                        <m:r>
                          <m:t>ρ</m:t>
                        </m:r>
                      </m:e>
                      <m:sub>
                        <m:sSub>
                          <m:e>
                            <m:r>
                              <m:t>τ</m:t>
                            </m:r>
                          </m:e>
                          <m:sub>
                            <m:r>
                              <m:t>12</m:t>
                            </m:r>
                            <m:r>
                              <m:rPr>
                                <m:sty m:val="p"/>
                              </m:rPr>
                              <m:t>,</m:t>
                            </m:r>
                            <m:r>
                              <m:t>f</m:t>
                            </m:r>
                          </m:sub>
                        </m:sSub>
                      </m:sub>
                    </m:sSub>
                  </m:e>
                  <m:e>
                    <m:sSub>
                      <m:e>
                        <m:r>
                          <m:t>v</m:t>
                        </m:r>
                      </m:e>
                      <m:sub>
                        <m:sSub>
                          <m:e>
                            <m:r>
                              <m:t>τ</m:t>
                            </m:r>
                          </m:e>
                          <m:sub>
                            <m:r>
                              <m:t>22</m:t>
                            </m:r>
                            <m:r>
                              <m:rPr>
                                <m:sty m:val="p"/>
                              </m:rPr>
                              <m:t>,</m:t>
                            </m:r>
                            <m:r>
                              <m:t>f</m:t>
                            </m:r>
                          </m:sub>
                        </m:sSub>
                      </m:sub>
                    </m:sSub>
                  </m:e>
                </m:mr>
              </m:m>
            </m:e>
          </m:d>
        </m:oMath>
      </m:oMathPara>
    </w:p>
    <w:bookmarkEnd w:id="36"/>
    <w:bookmarkStart w:id="37" w:name="seed-emergence"/>
    <w:p>
      <w:pPr>
        <w:pStyle w:val="Heading4"/>
      </w:pPr>
      <w:r>
        <w:t xml:space="preserve">Seed emergence</w:t>
      </w:r>
    </w:p>
    <w:p>
      <w:pPr>
        <w:pStyle w:val="FirstParagraph"/>
      </w:pPr>
      <w:r>
        <w:t xml:space="preserve">The diagonals of</w:t>
      </w:r>
      <w:r>
        <w:t xml:space="preserve"> </w:t>
      </w:r>
      <m:oMath>
        <m:sSub>
          <m:e>
            <m:r>
              <m:t>V</m:t>
            </m:r>
          </m:e>
          <m:sub>
            <m:r>
              <m:t>γ</m:t>
            </m:r>
          </m:sub>
        </m:sSub>
      </m:oMath>
      <w:r>
        <w:t xml:space="preserve"> </w:t>
      </w:r>
      <w:r>
        <w:t xml:space="preserve">were filled with</w:t>
      </w:r>
      <w:r>
        <w:t xml:space="preserve"> </w:t>
      </w:r>
      <m:oMath>
        <m:f>
          <m:fPr>
            <m:type m:val="bar"/>
          </m:fPr>
          <m:num>
            <m:r>
              <m:t>p</m:t>
            </m:r>
            <m:r>
              <m:t>i</m:t>
            </m:r>
            <m:d>
              <m:dPr>
                <m:begChr m:val="("/>
                <m:endChr m:val=")"/>
                <m:sepChr m:val=""/>
                <m:grow/>
              </m:dPr>
              <m:e>
                <m:r>
                  <m:t>1</m:t>
                </m:r>
                <m:r>
                  <m:rPr>
                    <m:sty m:val="p"/>
                  </m:rPr>
                  <m:t>−</m:t>
                </m:r>
                <m:sSub>
                  <m:e>
                    <m:r>
                      <m:t>p</m:t>
                    </m:r>
                  </m:e>
                  <m:sub>
                    <m:r>
                      <m:t>i</m:t>
                    </m:r>
                  </m:sub>
                </m:sSub>
              </m:e>
            </m:d>
          </m:num>
          <m:den>
            <m:r>
              <m:t>n</m:t>
            </m:r>
          </m:den>
        </m:f>
      </m:oMath>
      <w:r>
        <w:t xml:space="preserve"> </w:t>
      </w:r>
      <w:r>
        <w:t xml:space="preserve">and other elements, where</w:t>
      </w:r>
      <w:r>
        <w:t xml:space="preserve"> </w:t>
      </w:r>
      <m:oMath>
        <m:r>
          <m:t>i</m:t>
        </m:r>
        <m:r>
          <m:rPr>
            <m:sty m:val="p"/>
          </m:rPr>
          <m:t>≠</m:t>
        </m:r>
        <m:r>
          <m:t>j</m:t>
        </m:r>
      </m:oMath>
      <w:r>
        <w:t xml:space="preserve">, were filled with</w:t>
      </w:r>
      <w:r>
        <w:t xml:space="preserve"> </w:t>
      </w:r>
      <m:oMath>
        <m:f>
          <m:fPr>
            <m:type m:val="bar"/>
          </m:fPr>
          <m:num>
            <m:r>
              <m:rPr>
                <m:sty m:val="p"/>
              </m:rPr>
              <m:t>−</m:t>
            </m:r>
            <m:sSub>
              <m:e>
                <m:r>
                  <m:t>p</m:t>
                </m:r>
              </m:e>
              <m:sub>
                <m:r>
                  <m:t>i</m:t>
                </m:r>
              </m:sub>
            </m:sSub>
            <m:sSub>
              <m:e>
                <m:r>
                  <m:t>p</m:t>
                </m:r>
              </m:e>
              <m:sub>
                <m:r>
                  <m:t>j</m:t>
                </m:r>
              </m:sub>
            </m:sSub>
          </m:num>
          <m:den>
            <m:r>
              <m:t>n</m:t>
            </m:r>
          </m:den>
        </m:f>
      </m:oMath>
      <w:r>
        <w:t xml:space="preserve">.</w:t>
      </w:r>
      <w:r>
        <w:t xml:space="preserve"> </w:t>
      </w:r>
      <m:oMath>
        <m:sSub>
          <m:e>
            <m:r>
              <m:t>p</m:t>
            </m:r>
          </m:e>
          <m:sub>
            <m:r>
              <m:t>k</m:t>
            </m:r>
          </m:sub>
        </m:sSub>
      </m:oMath>
      <w:r>
        <w:t xml:space="preserve"> </w:t>
      </w:r>
      <w:r>
        <w:t xml:space="preserve">is the proportion of seedling emerge at cohort k. The off-diagonal of the</w:t>
      </w:r>
      <w:r>
        <w:t xml:space="preserve"> </w:t>
      </w:r>
      <m:oMath>
        <m:sSub>
          <m:e>
            <m:r>
              <m:t>M</m:t>
            </m:r>
          </m:e>
          <m:sub>
            <m:r>
              <m:t>s</m:t>
            </m:r>
          </m:sub>
        </m:sSub>
      </m:oMath>
      <w:r>
        <w:t xml:space="preserve"> </w:t>
      </w:r>
      <w:r>
        <w:t xml:space="preserve">and the second column of the</w:t>
      </w:r>
      <w:r>
        <w:t xml:space="preserve"> </w:t>
      </w:r>
      <m:oMath>
        <m:sSub>
          <m:e>
            <m:r>
              <m:t>M</m:t>
            </m:r>
          </m:e>
          <m:sub>
            <m:r>
              <m:t>s</m:t>
            </m:r>
            <m:r>
              <m:rPr>
                <m:sty m:val="p"/>
              </m:rPr>
              <m:t>,</m:t>
            </m:r>
            <m:r>
              <m:t>p</m:t>
            </m:r>
          </m:sub>
        </m:sSub>
      </m:oMath>
      <w:r>
        <w:t xml:space="preserve"> </w:t>
      </w:r>
      <w:r>
        <w:t xml:space="preserve">are zeros because we assumed no emergence from the 2-20 cm soil stratum and that the seed emergence from the 0-2 cm soil stratum is independent of the 2-20 stratum soil seedbank density.</w:t>
      </w:r>
    </w:p>
    <w:p>
      <w:pPr>
        <w:pStyle w:val="BodyText"/>
      </w:pPr>
      <m:oMathPara>
        <m:oMathParaPr>
          <m:jc m:val="center"/>
        </m:oMathParaPr>
        <m:oMath>
          <m:sSub>
            <m:e>
              <m:r>
                <m:rPr>
                  <m:sty m:val="b"/>
                </m:rPr>
                <m:t>V</m:t>
              </m:r>
            </m:e>
            <m:sub>
              <m:r>
                <m:rPr>
                  <m:sty m:val="b"/>
                </m:rPr>
                <m:t>γ</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f>
                      <m:fPr>
                        <m:type m:val="bar"/>
                      </m:fPr>
                      <m:num>
                        <m:d>
                          <m:dPr>
                            <m:begChr m:val="("/>
                            <m:endChr m:val=")"/>
                            <m:sepChr m:val=""/>
                            <m:grow/>
                          </m:dPr>
                          <m:e>
                            <m:r>
                              <m:t>1</m:t>
                            </m:r>
                            <m:r>
                              <m:rPr>
                                <m:sty m:val="p"/>
                              </m:rPr>
                              <m:t>−</m:t>
                            </m:r>
                            <m:nary>
                              <m:naryPr>
                                <m:chr m:val="∑"/>
                                <m:limLoc m:val="undOvr"/>
                                <m:subHide m:val="0"/>
                                <m:supHide m:val="0"/>
                              </m:naryPr>
                              <m:sub>
                                <m:r>
                                  <m:t>k</m:t>
                                </m:r>
                                <m:r>
                                  <m:rPr>
                                    <m:sty m:val="p"/>
                                  </m:rPr>
                                  <m:t>=</m:t>
                                </m:r>
                                <m:r>
                                  <m:t>1</m:t>
                                </m:r>
                              </m:sub>
                              <m:sup>
                                <m:r>
                                  <m:t>6</m:t>
                                </m:r>
                              </m:sup>
                              <m:e>
                                <m:r>
                                  <m:t>​</m:t>
                                </m:r>
                              </m:e>
                            </m:nary>
                          </m:e>
                        </m:d>
                        <m:nary>
                          <m:naryPr>
                            <m:chr m:val="∑"/>
                            <m:limLoc m:val="undOvr"/>
                            <m:subHide m:val="0"/>
                            <m:supHide m:val="0"/>
                          </m:naryPr>
                          <m:sub>
                            <m:r>
                              <m:t>i</m:t>
                            </m:r>
                            <m:r>
                              <m:rPr>
                                <m:sty m:val="p"/>
                              </m:rPr>
                              <m:t>=</m:t>
                            </m:r>
                            <m:r>
                              <m:t>1</m:t>
                            </m:r>
                          </m:sub>
                          <m:sup>
                            <m:r>
                              <m:t>6</m:t>
                            </m:r>
                          </m:sup>
                          <m:e>
                            <m:r>
                              <m:t>​</m:t>
                            </m:r>
                          </m:e>
                        </m:nary>
                      </m:num>
                      <m:den>
                        <m:r>
                          <m:t>n</m:t>
                        </m:r>
                      </m:den>
                    </m:f>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f>
                      <m:fPr>
                        <m:type m:val="bar"/>
                      </m:fPr>
                      <m:num>
                        <m:d>
                          <m:dPr>
                            <m:begChr m:val="("/>
                            <m:endChr m:val=")"/>
                            <m:sepChr m:val=""/>
                            <m:grow/>
                          </m:dPr>
                          <m:e>
                            <m:r>
                              <m:t>1</m:t>
                            </m:r>
                            <m:r>
                              <m:rPr>
                                <m:sty m:val="p"/>
                              </m:rPr>
                              <m:t>−</m:t>
                            </m:r>
                            <m:nary>
                              <m:naryPr>
                                <m:chr m:val="∑"/>
                                <m:limLoc m:val="undOvr"/>
                                <m:subHide m:val="0"/>
                                <m:supHide m:val="0"/>
                              </m:naryPr>
                              <m:sub>
                                <m:r>
                                  <m:t>i</m:t>
                                </m:r>
                                <m:r>
                                  <m:rPr>
                                    <m:sty m:val="p"/>
                                  </m:rPr>
                                  <m:t>=</m:t>
                                </m:r>
                                <m:r>
                                  <m:t>1</m:t>
                                </m:r>
                              </m:sub>
                              <m:sup>
                                <m:r>
                                  <m:t>6</m:t>
                                </m:r>
                              </m:sup>
                              <m:e>
                                <m:sSub>
                                  <m:e>
                                    <m:r>
                                      <m:t>γ</m:t>
                                    </m:r>
                                  </m:e>
                                  <m:sub>
                                    <m:r>
                                      <m:t>k</m:t>
                                    </m:r>
                                  </m:sub>
                                </m:sSub>
                              </m:e>
                            </m:nary>
                          </m:e>
                        </m:d>
                        <m:sSub>
                          <m:e>
                            <m:r>
                              <m:t>γ</m:t>
                            </m:r>
                          </m:e>
                          <m:sub>
                            <m:r>
                              <m:t>3</m:t>
                            </m:r>
                          </m:sub>
                        </m:sSub>
                      </m:num>
                      <m:den>
                        <m:r>
                          <m:t>n</m:t>
                        </m:r>
                      </m:den>
                    </m:f>
                  </m:e>
                  <m:e>
                    <m:r>
                      <m:t>0</m:t>
                    </m:r>
                  </m:e>
                  <m:e>
                    <m:f>
                      <m:fPr>
                        <m:type m:val="bar"/>
                      </m:fPr>
                      <m:num>
                        <m:sSub>
                          <m:e>
                            <m:r>
                              <m:t>γ</m:t>
                            </m:r>
                          </m:e>
                          <m:sub>
                            <m:r>
                              <m:t>1</m:t>
                            </m:r>
                          </m:sub>
                        </m:sSub>
                        <m:d>
                          <m:dPr>
                            <m:begChr m:val="("/>
                            <m:endChr m:val=")"/>
                            <m:sepChr m:val=""/>
                            <m:grow/>
                          </m:dPr>
                          <m:e>
                            <m:r>
                              <m:t>1</m:t>
                            </m:r>
                            <m:r>
                              <m:rPr>
                                <m:sty m:val="p"/>
                              </m:rPr>
                              <m:t>−</m:t>
                            </m:r>
                            <m:sSub>
                              <m:e>
                                <m:r>
                                  <m:t>γ</m:t>
                                </m:r>
                              </m:e>
                              <m:sub>
                                <m:r>
                                  <m:t>1</m:t>
                                </m:r>
                              </m:sub>
                            </m:sSub>
                          </m:e>
                        </m:d>
                      </m:num>
                      <m:den>
                        <m:r>
                          <m:t>n</m:t>
                        </m:r>
                      </m:den>
                    </m:f>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f>
                      <m:fPr>
                        <m:type m:val="bar"/>
                      </m:fPr>
                      <m:num>
                        <m:sSub>
                          <m:e>
                            <m:r>
                              <m:t>γ</m:t>
                            </m:r>
                          </m:e>
                          <m:sub>
                            <m:r>
                              <m:t>1</m:t>
                            </m:r>
                          </m:sub>
                        </m:sSub>
                        <m:sSub>
                          <m:e>
                            <m:r>
                              <m:t>γ</m:t>
                            </m:r>
                          </m:e>
                          <m:sub>
                            <m:r>
                              <m:t>2</m:t>
                            </m:r>
                          </m:sub>
                        </m:sSub>
                      </m:num>
                      <m:den>
                        <m:r>
                          <m:t>n</m:t>
                        </m:r>
                      </m:den>
                    </m:f>
                  </m:e>
                  <m:e>
                    <m:f>
                      <m:fPr>
                        <m:type m:val="bar"/>
                      </m:fPr>
                      <m:num>
                        <m:sSub>
                          <m:e>
                            <m:r>
                              <m:t>γ</m:t>
                            </m:r>
                          </m:e>
                          <m:sub>
                            <m:r>
                              <m:t>2</m:t>
                            </m:r>
                          </m:sub>
                        </m:sSub>
                        <m:d>
                          <m:dPr>
                            <m:begChr m:val="("/>
                            <m:endChr m:val=")"/>
                            <m:sepChr m:val=""/>
                            <m:grow/>
                          </m:dPr>
                          <m:e>
                            <m:r>
                              <m:t>1</m:t>
                            </m:r>
                            <m:r>
                              <m:rPr>
                                <m:sty m:val="p"/>
                              </m:rPr>
                              <m:t>−</m:t>
                            </m:r>
                            <m:sSub>
                              <m:e>
                                <m:r>
                                  <m:t>γ</m:t>
                                </m:r>
                              </m:e>
                              <m:sub>
                                <m:r>
                                  <m:t>2</m:t>
                                </m:r>
                              </m:sub>
                            </m:sSub>
                          </m:e>
                        </m:d>
                      </m:num>
                      <m:den>
                        <m:r>
                          <m:t>n</m:t>
                        </m:r>
                      </m:den>
                    </m:f>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f>
                      <m:fPr>
                        <m:type m:val="bar"/>
                      </m:fPr>
                      <m:num>
                        <m:d>
                          <m:dPr>
                            <m:begChr m:val="("/>
                            <m:endChr m:val=")"/>
                            <m:sepChr m:val=""/>
                            <m:grow/>
                          </m:dPr>
                          <m:e>
                            <m:r>
                              <m:t>1</m:t>
                            </m:r>
                            <m:r>
                              <m:rPr>
                                <m:sty m:val="p"/>
                              </m:rPr>
                              <m:t>−</m:t>
                            </m:r>
                            <m:nary>
                              <m:naryPr>
                                <m:chr m:val="∑"/>
                                <m:limLoc m:val="undOvr"/>
                                <m:subHide m:val="0"/>
                                <m:supHide m:val="0"/>
                              </m:naryPr>
                              <m:sub>
                                <m:r>
                                  <m:t>i</m:t>
                                </m:r>
                                <m:r>
                                  <m:rPr>
                                    <m:sty m:val="p"/>
                                  </m:rPr>
                                  <m:t>=</m:t>
                                </m:r>
                                <m:r>
                                  <m:t>1</m:t>
                                </m:r>
                              </m:sub>
                              <m:sup>
                                <m:r>
                                  <m:t>6</m:t>
                                </m:r>
                              </m:sup>
                              <m:e>
                                <m:sSub>
                                  <m:e>
                                    <m:r>
                                      <m:t>γ</m:t>
                                    </m:r>
                                  </m:e>
                                  <m:sub>
                                    <m:r>
                                      <m:t>k</m:t>
                                    </m:r>
                                  </m:sub>
                                </m:sSub>
                              </m:e>
                            </m:nary>
                          </m:e>
                        </m:d>
                        <m:sSub>
                          <m:e>
                            <m:r>
                              <m:t>γ</m:t>
                            </m:r>
                          </m:e>
                          <m:sub>
                            <m:r>
                              <m:t>6</m:t>
                            </m:r>
                          </m:sub>
                        </m:sSub>
                      </m:num>
                      <m:den>
                        <m:r>
                          <m:t>n</m:t>
                        </m:r>
                      </m:den>
                    </m:f>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f>
                      <m:fPr>
                        <m:type m:val="bar"/>
                      </m:fPr>
                      <m:num>
                        <m:sSub>
                          <m:e>
                            <m:r>
                              <m:t>γ</m:t>
                            </m:r>
                          </m:e>
                          <m:sub>
                            <m:r>
                              <m:t>5</m:t>
                            </m:r>
                          </m:sub>
                        </m:sSub>
                        <m:sSub>
                          <m:e>
                            <m:r>
                              <m:t>γ</m:t>
                            </m:r>
                          </m:e>
                          <m:sub>
                            <m:r>
                              <m:t>6</m:t>
                            </m:r>
                          </m:sub>
                        </m:sSub>
                      </m:num>
                      <m:den>
                        <m:r>
                          <m:t>n</m:t>
                        </m:r>
                      </m:den>
                    </m:f>
                  </m:e>
                  <m:e>
                    <m:f>
                      <m:fPr>
                        <m:type m:val="bar"/>
                      </m:fPr>
                      <m:num>
                        <m:sSub>
                          <m:e>
                            <m:r>
                              <m:t>γ</m:t>
                            </m:r>
                          </m:e>
                          <m:sub>
                            <m:r>
                              <m:t>6</m:t>
                            </m:r>
                          </m:sub>
                        </m:sSub>
                        <m:d>
                          <m:dPr>
                            <m:begChr m:val="("/>
                            <m:endChr m:val=")"/>
                            <m:sepChr m:val=""/>
                            <m:grow/>
                          </m:dPr>
                          <m:e>
                            <m:r>
                              <m:t>1</m:t>
                            </m:r>
                            <m:r>
                              <m:rPr>
                                <m:sty m:val="p"/>
                              </m:rPr>
                              <m:t>−</m:t>
                            </m:r>
                            <m:sSub>
                              <m:e>
                                <m:r>
                                  <m:t>γ</m:t>
                                </m:r>
                              </m:e>
                              <m:sub>
                                <m:r>
                                  <m:t>6</m:t>
                                </m:r>
                              </m:sub>
                            </m:sSub>
                          </m:e>
                        </m:d>
                      </m:num>
                      <m:den>
                        <m:r>
                          <m:t>n</m:t>
                        </m:r>
                      </m:den>
                    </m:f>
                  </m:e>
                </m:mr>
              </m:m>
            </m:e>
          </m:d>
        </m:oMath>
      </m:oMathPara>
    </w:p>
    <w:bookmarkEnd w:id="37"/>
    <w:bookmarkStart w:id="38" w:name="summer-seedling-and-plant-survival"/>
    <w:p>
      <w:pPr>
        <w:pStyle w:val="Heading4"/>
      </w:pPr>
      <w:r>
        <w:t xml:space="preserve">Summer seedling and plant survival</w:t>
      </w:r>
    </w:p>
    <w:p>
      <w:pPr>
        <w:pStyle w:val="FirstParagraph"/>
      </w:pPr>
      <m:oMath>
        <m:sSub>
          <m:e>
            <m:r>
              <m:t>v</m:t>
            </m:r>
          </m:e>
          <m:sub>
            <m:sSub>
              <m:e>
                <m:r>
                  <m:t>σ</m:t>
                </m:r>
              </m:e>
              <m:sub>
                <m:sSub>
                  <m:e>
                    <m:r>
                      <m:t>s</m:t>
                    </m:r>
                  </m:e>
                  <m:sub>
                    <m:r>
                      <m:t>1</m:t>
                    </m:r>
                  </m:sub>
                </m:sSub>
              </m:sub>
            </m:sSub>
          </m:sub>
        </m:sSub>
      </m:oMath>
      <w:r>
        <w:t xml:space="preserve"> </w:t>
      </w:r>
      <w:r>
        <w:t xml:space="preserve">and</w:t>
      </w:r>
      <w:r>
        <w:t xml:space="preserve"> </w:t>
      </w:r>
      <m:oMath>
        <m:sSub>
          <m:e>
            <m:r>
              <m:t>v</m:t>
            </m:r>
          </m:e>
          <m:sub>
            <m:sSub>
              <m:e>
                <m:r>
                  <m:t>σ</m:t>
                </m:r>
              </m:e>
              <m:sub>
                <m:sSub>
                  <m:e>
                    <m:r>
                      <m:t>s</m:t>
                    </m:r>
                  </m:e>
                  <m:sub>
                    <m:r>
                      <m:t>2</m:t>
                    </m:r>
                  </m:sub>
                </m:sSub>
              </m:sub>
            </m:sSub>
          </m:sub>
        </m:sSub>
      </m:oMath>
      <w:r>
        <w:t xml:space="preserve"> </w:t>
      </w:r>
      <w:r>
        <w:t xml:space="preserve">elements were visually estimated from Figures 1 and 3, in</w:t>
      </w:r>
      <w:r>
        <w:t xml:space="preserve"> </w:t>
      </w:r>
      <w:r>
        <w:t xml:space="preserve">Sosnoskie, Webster, and Culpepper (2013)</w:t>
      </w:r>
      <w:r>
        <w:t xml:space="preserve"> </w:t>
      </w:r>
      <w:r>
        <w:t xml:space="preserve">because the raw data was not available. All other elements are 0 because we assumed seed survival in different strata and plant survival in different cohorts are independent of one another.</w:t>
      </w:r>
    </w:p>
    <w:p>
      <w:pPr>
        <w:pStyle w:val="BodyText"/>
      </w:pPr>
      <m:oMathPara>
        <m:oMathParaPr>
          <m:jc m:val="center"/>
        </m:oMathParaPr>
        <m:oMath>
          <m:sSub>
            <m:e>
              <m:r>
                <m:rPr>
                  <m:sty m:val="b"/>
                </m:rPr>
                <m:t>V</m:t>
              </m:r>
            </m:e>
            <m:sub>
              <m:r>
                <m:rPr>
                  <m:sty m:val="b"/>
                </m:rPr>
                <m:t>σ</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v</m:t>
                        </m:r>
                      </m:e>
                      <m:sub>
                        <m:sSub>
                          <m:e>
                            <m:r>
                              <m:t>σ</m:t>
                            </m:r>
                          </m:e>
                          <m:sub>
                            <m:sSub>
                              <m:e>
                                <m:r>
                                  <m:t>s</m:t>
                                </m:r>
                              </m:e>
                              <m:sub>
                                <m:r>
                                  <m:t>1</m:t>
                                </m:r>
                              </m:sub>
                            </m:sSub>
                          </m:sub>
                        </m:sSub>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v</m:t>
                        </m:r>
                      </m:e>
                      <m:sub>
                        <m:sSub>
                          <m:e>
                            <m:r>
                              <m:t>σ</m:t>
                            </m:r>
                          </m:e>
                          <m:sub>
                            <m:sSub>
                              <m:e>
                                <m:r>
                                  <m:t>s</m:t>
                                </m:r>
                              </m:e>
                              <m:sub>
                                <m:r>
                                  <m:t>2</m:t>
                                </m:r>
                              </m:sub>
                            </m:sSub>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sSub>
                      <m:e>
                        <m:r>
                          <m:t>σ</m:t>
                        </m:r>
                      </m:e>
                      <m:sub>
                        <m:sSub>
                          <m:e>
                            <m:r>
                              <m:t>p</m:t>
                            </m:r>
                          </m:e>
                          <m:sub>
                            <m:r>
                              <m:t>1</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2</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6</m:t>
                            </m:r>
                          </m:sub>
                        </m:sSub>
                      </m:sub>
                    </m:sSub>
                  </m:e>
                </m:mr>
              </m:m>
            </m:e>
          </m:d>
        </m:oMath>
      </m:oMathPara>
    </w:p>
    <w:bookmarkEnd w:id="38"/>
    <w:bookmarkStart w:id="39" w:name="plant-fecundity-1"/>
    <w:p>
      <w:pPr>
        <w:pStyle w:val="Heading4"/>
      </w:pPr>
      <w:r>
        <w:t xml:space="preserve">Plant fecundity</w:t>
      </w:r>
    </w:p>
    <w:p>
      <w:pPr>
        <w:pStyle w:val="FirstParagraph"/>
      </w:pPr>
      <w:r>
        <w:t xml:space="preserve">The variance-covariance matrix of</w:t>
      </w:r>
      <w:r>
        <w:t xml:space="preserve"> </w:t>
      </w:r>
      <m:oMath>
        <m:sSub>
          <m:e>
            <m:r>
              <m:t>B</m:t>
            </m:r>
          </m:e>
          <m:sub>
            <m:r>
              <m:t>ϕ</m:t>
            </m:r>
          </m:sub>
        </m:sSub>
      </m:oMath>
      <w:r>
        <w:t xml:space="preserve">,</w:t>
      </w:r>
      <w:r>
        <w:t xml:space="preserve"> </w:t>
      </w:r>
      <m:oMath>
        <m:sSub>
          <m:e>
            <m:r>
              <m:t>V</m:t>
            </m:r>
          </m:e>
          <m:sub>
            <m:r>
              <m:t>ϕ</m:t>
            </m:r>
          </m:sub>
        </m:sSub>
      </m:oMath>
      <w:r>
        <w:t xml:space="preserve">, is 6x6 because this period involved plant dynamics only.</w:t>
      </w:r>
      <w:r>
        <w:t xml:space="preserve"> </w:t>
      </w:r>
      <m:oMath>
        <m:sSub>
          <m:e>
            <m:r>
              <m:t>v</m:t>
            </m:r>
          </m:e>
          <m:sub>
            <m:sSub>
              <m:e>
                <m:r>
                  <m:t>ϕ</m:t>
                </m:r>
              </m:e>
              <m:sub>
                <m:r>
                  <m:t>k</m:t>
                </m:r>
              </m:sub>
            </m:sSub>
          </m:sub>
        </m:sSub>
        <m:r>
          <m:rPr>
            <m:sty m:val="p"/>
          </m:rPr>
          <m:t>=</m:t>
        </m:r>
        <m:f>
          <m:fPr>
            <m:type m:val="bar"/>
          </m:fPr>
          <m:num>
            <m:nary>
              <m:naryPr>
                <m:chr m:val="∑"/>
                <m:limLoc m:val="undOvr"/>
                <m:subHide m:val="0"/>
                <m:supHide m:val="0"/>
              </m:naryPr>
              <m:sub>
                <m:r>
                  <m:t>f</m:t>
                </m:r>
                <m:r>
                  <m:rPr>
                    <m:sty m:val="p"/>
                  </m:rPr>
                  <m:t>=</m:t>
                </m:r>
                <m:r>
                  <m:t>1</m:t>
                </m:r>
              </m:sub>
              <m:sup>
                <m:r>
                  <m:t>z</m:t>
                </m:r>
              </m:sup>
              <m:e>
                <m:d>
                  <m:dPr>
                    <m:begChr m:val="("/>
                    <m:endChr m:val=")"/>
                    <m:sepChr m:val=""/>
                    <m:grow/>
                  </m:dPr>
                  <m:e>
                    <m:sSub>
                      <m:e>
                        <m:r>
                          <m:t>f</m:t>
                        </m:r>
                      </m:e>
                      <m:sub>
                        <m:r>
                          <m:t>z</m:t>
                        </m:r>
                      </m:sub>
                    </m:sSub>
                    <m:r>
                      <m:rPr>
                        <m:sty m:val="p"/>
                      </m:rPr>
                      <m:t>−</m:t>
                    </m:r>
                    <m:acc>
                      <m:accPr>
                        <m:chr m:val="‾"/>
                      </m:accPr>
                      <m:e>
                        <m:sSub>
                          <m:e>
                            <m:r>
                              <m:t>f</m:t>
                            </m:r>
                          </m:e>
                          <m:sub>
                            <m:r>
                              <m:t>k</m:t>
                            </m:r>
                          </m:sub>
                        </m:sSub>
                      </m:e>
                    </m:acc>
                  </m:e>
                </m:d>
              </m:e>
            </m:nary>
          </m:num>
          <m:den>
            <m:sSub>
              <m:e>
                <m:r>
                  <m:t>n</m:t>
                </m:r>
              </m:e>
              <m:sub>
                <m:r>
                  <m:t>k</m:t>
                </m:r>
              </m:sub>
            </m:sSub>
            <m:r>
              <m:rPr>
                <m:sty m:val="p"/>
              </m:rPr>
              <m:t>−</m:t>
            </m:r>
            <m:r>
              <m:t>1</m:t>
            </m:r>
          </m:den>
        </m:f>
      </m:oMath>
      <w:r>
        <w:t xml:space="preserve">, where</w:t>
      </w:r>
      <w:r>
        <w:t xml:space="preserve"> </w:t>
      </w:r>
      <m:oMath>
        <m:sSub>
          <m:e>
            <m:r>
              <m:t>f</m:t>
            </m:r>
          </m:e>
          <m:sub>
            <m:r>
              <m:t>z</m:t>
            </m:r>
          </m:sub>
        </m:sSub>
      </m:oMath>
      <w:r>
        <w:t xml:space="preserve"> </w:t>
      </w:r>
      <w:r>
        <w:t xml:space="preserve">is the fecundity of plant z in cohort k,</w:t>
      </w:r>
      <w:r>
        <w:t xml:space="preserve"> </w:t>
      </w:r>
      <m:oMath>
        <m:acc>
          <m:accPr>
            <m:chr m:val="‾"/>
          </m:accPr>
          <m:e>
            <m:sSub>
              <m:e>
                <m:r>
                  <m:t>f</m:t>
                </m:r>
              </m:e>
              <m:sub>
                <m:r>
                  <m:t>k</m:t>
                </m:r>
              </m:sub>
            </m:sSub>
          </m:e>
        </m:acc>
      </m:oMath>
      <w:r>
        <w:t xml:space="preserve"> </w:t>
      </w:r>
      <w:r>
        <w:t xml:space="preserve">is the mean fecundity of the cohort k, and</w:t>
      </w:r>
      <w:r>
        <w:t xml:space="preserve"> </w:t>
      </w:r>
      <m:oMath>
        <m:sSub>
          <m:e>
            <m:r>
              <m:t>n</m:t>
            </m:r>
          </m:e>
          <m:sub>
            <m:r>
              <m:t>k</m:t>
            </m:r>
          </m:sub>
        </m:sSub>
      </m:oMath>
      <w:r>
        <w:t xml:space="preserve"> </w:t>
      </w:r>
      <w:r>
        <w:t xml:space="preserve">is the number of plants in cohort k. Variance of a cohort that had only one sample was assigned zero.</w:t>
      </w:r>
    </w:p>
    <w:p>
      <w:pPr>
        <w:pStyle w:val="BodyText"/>
      </w:pPr>
      <m:oMathPara>
        <m:oMathParaPr>
          <m:jc m:val="center"/>
        </m:oMathParaPr>
        <m:oMath>
          <m:sSub>
            <m:e>
              <m:r>
                <m:rPr>
                  <m:sty m:val="b"/>
                </m:rPr>
                <m:t>V</m:t>
              </m:r>
            </m:e>
            <m:sub>
              <m:r>
                <m:rPr>
                  <m:sty m:val="b"/>
                </m:rPr>
                <m:t>ϕ</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
                      <m:mcPr>
                        <m:mcJc m:val="center"/>
                        <m:count m:val="1"/>
                      </m:mcPr>
                    </m:mc>
                  </m:mcs>
                </m:mPr>
                <m:mr>
                  <m:e>
                    <m:sSub>
                      <m:e>
                        <m:r>
                          <m:t>v</m:t>
                        </m:r>
                      </m:e>
                      <m:sub>
                        <m:sSub>
                          <m:e>
                            <m:r>
                              <m:t>ϕ</m:t>
                            </m:r>
                          </m:e>
                          <m:sub>
                            <m:r>
                              <m:t>1</m:t>
                            </m:r>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v</m:t>
                        </m:r>
                      </m:e>
                      <m:sub>
                        <m:sSub>
                          <m:e>
                            <m:r>
                              <m:t>ϕ</m:t>
                            </m:r>
                          </m:e>
                          <m:sub>
                            <m:r>
                              <m:t>5</m:t>
                            </m:r>
                          </m:sub>
                        </m:sSub>
                      </m:sub>
                    </m:sSub>
                  </m:e>
                  <m:e>
                    <m:r>
                      <m:rPr>
                        <m:sty m:val="p"/>
                      </m:rPr>
                      <m:t>.</m:t>
                    </m:r>
                    <m:r>
                      <m:rPr>
                        <m:sty m:val="p"/>
                      </m:rPr>
                      <m:t>.</m:t>
                    </m:r>
                    <m:r>
                      <m:rPr>
                        <m:sty m:val="p"/>
                      </m:rPr>
                      <m:t>.</m:t>
                    </m:r>
                  </m:e>
                </m:mr>
                <m:mr>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v</m:t>
                        </m:r>
                      </m:e>
                      <m:sub>
                        <m:sSub>
                          <m:e>
                            <m:r>
                              <m:t>ϕ</m:t>
                            </m:r>
                          </m:e>
                          <m:sub>
                            <m:r>
                              <m:t>6</m:t>
                            </m:r>
                          </m:sub>
                        </m:sSub>
                      </m:sub>
                    </m:sSub>
                  </m:e>
                </m:mr>
              </m:m>
            </m:e>
          </m:d>
        </m:oMath>
      </m:oMathPara>
    </w:p>
    <w:bookmarkEnd w:id="39"/>
    <w:bookmarkStart w:id="40" w:name="overwinter-survival-1"/>
    <w:p>
      <w:pPr>
        <w:pStyle w:val="Heading4"/>
      </w:pPr>
      <w:r>
        <w:t xml:space="preserve">Overwinter survival</w:t>
      </w:r>
    </w:p>
    <w:p>
      <w:pPr>
        <w:pStyle w:val="FirstParagraph"/>
      </w:pPr>
      <w:r>
        <w:t xml:space="preserve">Similar to</w:t>
      </w:r>
      <w:r>
        <w:t xml:space="preserve"> </w:t>
      </w:r>
      <m:oMath>
        <m:sSub>
          <m:e>
            <m:r>
              <m:t>V</m:t>
            </m:r>
          </m:e>
          <m:sub>
            <m:r>
              <m:t>σ</m:t>
            </m:r>
          </m:sub>
        </m:sSub>
      </m:oMath>
      <w:r>
        <w:t xml:space="preserve">, the variance-covariance matrix of</w:t>
      </w:r>
      <w:r>
        <w:t xml:space="preserve"> </w:t>
      </w:r>
      <m:oMath>
        <m:sSub>
          <m:e>
            <m:r>
              <m:t>B</m:t>
            </m:r>
          </m:e>
          <m:sub>
            <m:r>
              <m:t>ω</m:t>
            </m:r>
          </m:sub>
        </m:sSub>
      </m:oMath>
      <w:r>
        <w:t xml:space="preserve">,</w:t>
      </w:r>
      <w:r>
        <w:t xml:space="preserve"> </w:t>
      </w:r>
      <m:oMath>
        <m:sSub>
          <m:e>
            <m:r>
              <m:t>V</m:t>
            </m:r>
          </m:e>
          <m:sub>
            <m:r>
              <m:t>ω</m:t>
            </m:r>
          </m:sub>
        </m:sSub>
      </m:oMath>
      <w:r>
        <w:t xml:space="preserve">, is 2x2 because this stage involved seed dynamics only. The</w:t>
      </w:r>
      <w:r>
        <w:t xml:space="preserve"> </w:t>
      </w:r>
      <m:oMath>
        <m:sSub>
          <m:e>
            <m:r>
              <m:t>v</m:t>
            </m:r>
          </m:e>
          <m:sub>
            <m:sSub>
              <m:e>
                <m:r>
                  <m:t>ω</m:t>
                </m:r>
              </m:e>
              <m:sub>
                <m:r>
                  <m:t>11</m:t>
                </m:r>
              </m:sub>
            </m:sSub>
          </m:sub>
        </m:sSub>
      </m:oMath>
      <w:r>
        <w:t xml:space="preserve"> </w:t>
      </w:r>
      <w:r>
        <w:t xml:space="preserve">and</w:t>
      </w:r>
      <w:r>
        <w:t xml:space="preserve"> </w:t>
      </w:r>
      <m:oMath>
        <m:sSub>
          <m:e>
            <m:r>
              <m:t>v</m:t>
            </m:r>
          </m:e>
          <m:sub>
            <m:sSub>
              <m:e>
                <m:r>
                  <m:t>ω</m:t>
                </m:r>
              </m:e>
              <m:sub>
                <m:r>
                  <m:t>22</m:t>
                </m:r>
              </m:sub>
            </m:sSub>
          </m:sub>
        </m:sSub>
      </m:oMath>
      <w:r>
        <w:t xml:space="preserve"> </w:t>
      </w:r>
      <w:r>
        <w:t xml:space="preserve">elements were visually estimated from Figures 1 and 3, in</w:t>
      </w:r>
      <w:r>
        <w:t xml:space="preserve"> </w:t>
      </w:r>
      <w:r>
        <w:t xml:space="preserve">Sosnoskie, Webster, and Culpepper (2013)</w:t>
      </w:r>
      <w:r>
        <w:t xml:space="preserve"> </w:t>
      </w:r>
      <w:r>
        <w:t xml:space="preserve">because the raw data was not available.</w:t>
      </w:r>
    </w:p>
    <w:p>
      <w:pPr>
        <w:pStyle w:val="BodyText"/>
      </w:pPr>
      <m:oMathPara>
        <m:oMathParaPr>
          <m:jc m:val="center"/>
        </m:oMathParaPr>
        <m:oMath>
          <m:sSub>
            <m:e>
              <m:r>
                <m:rPr>
                  <m:sty m:val="b"/>
                </m:rPr>
                <m:t>V</m:t>
              </m:r>
            </m:e>
            <m:sub>
              <m:r>
                <m:rPr>
                  <m:sty m:val="b"/>
                </m:rPr>
                <m:t>ω</m:t>
              </m:r>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ω</m:t>
                            </m:r>
                          </m:e>
                          <m:sub>
                            <m:r>
                              <m:t>11</m:t>
                            </m:r>
                          </m:sub>
                        </m:sSub>
                      </m:sub>
                    </m:sSub>
                  </m:e>
                  <m:e>
                    <m:r>
                      <m:t>0</m:t>
                    </m:r>
                  </m:e>
                </m:mr>
                <m:mr>
                  <m:e>
                    <m:r>
                      <m:t>0</m:t>
                    </m:r>
                  </m:e>
                  <m:e>
                    <m:sSub>
                      <m:e>
                        <m:r>
                          <m:t>v</m:t>
                        </m:r>
                      </m:e>
                      <m:sub>
                        <m:sSub>
                          <m:e>
                            <m:r>
                              <m:t>ω</m:t>
                            </m:r>
                          </m:e>
                          <m:sub>
                            <m:r>
                              <m:t>22</m:t>
                            </m:r>
                          </m:sub>
                        </m:sSub>
                      </m:sub>
                    </m:sSub>
                  </m:e>
                </m:mr>
              </m:m>
            </m:e>
          </m:d>
        </m:oMath>
      </m:oMathPara>
    </w:p>
    <w:bookmarkEnd w:id="40"/>
    <w:bookmarkEnd w:id="41"/>
    <w:bookmarkStart w:id="44" w:name="modeling"/>
    <w:p>
      <w:pPr>
        <w:pStyle w:val="Heading3"/>
      </w:pPr>
      <w:r>
        <w:t xml:space="preserve">Modeling</w:t>
      </w:r>
    </w:p>
    <w:p>
      <w:pPr>
        <w:pStyle w:val="FirstParagraph"/>
      </w:pPr>
      <w:r>
        <w:t xml:space="preserve">Within a year, waterhemp population projection from time</w:t>
      </w:r>
      <w:r>
        <w:t xml:space="preserve"> </w:t>
      </w:r>
      <m:oMath>
        <m:r>
          <m:t>k</m:t>
        </m:r>
      </m:oMath>
      <w:r>
        <w:t xml:space="preserve"> </w:t>
      </w:r>
      <w:r>
        <w:t xml:space="preserve">to</w:t>
      </w:r>
      <w:r>
        <w:t xml:space="preserve"> </w:t>
      </w:r>
      <m:oMath>
        <m:r>
          <m:t>k</m:t>
        </m:r>
        <m:r>
          <m:rPr>
            <m:sty m:val="p"/>
          </m:rPr>
          <m:t>+</m:t>
        </m:r>
        <m:r>
          <m:t>1</m:t>
        </m:r>
      </m:oMath>
      <w:r>
        <w:t xml:space="preserve"> </w:t>
      </w:r>
      <w:r>
        <w:t xml:space="preserve">was reflected by the changes in number of seeds and plants and calculated as follow</w:t>
      </w:r>
      <w:r>
        <w:t xml:space="preserve"> </w:t>
      </w:r>
      <w:r>
        <w:t xml:space="preserve">(Chapters 2, 3 and 4, Caswell 2001)</w:t>
      </w:r>
      <w:r>
        <w:t xml:space="preserve">.</w:t>
      </w:r>
      <w:r>
        <w:br/>
      </w:r>
    </w:p>
    <w:p>
      <w:pPr>
        <w:pStyle w:val="BodyText"/>
      </w:pPr>
      <m:oMathPara>
        <m:oMathParaPr>
          <m:jc m:val="center"/>
        </m:oMathParaPr>
        <m:oMath>
          <m:sSub>
            <m:e>
              <m:r>
                <m:t>N</m:t>
              </m:r>
            </m:e>
            <m:sub>
              <m:r>
                <m:t>k</m:t>
              </m:r>
              <m:r>
                <m:rPr>
                  <m:sty m:val="p"/>
                </m:rPr>
                <m:t>+</m:t>
              </m:r>
              <m:r>
                <m:t>1</m:t>
              </m:r>
            </m:sub>
          </m:sSub>
          <m:r>
            <m:rPr>
              <m:sty m:val="p"/>
            </m:rPr>
            <m:t>=</m:t>
          </m:r>
          <m:sSub>
            <m:e>
              <m:r>
                <m:t>B</m:t>
              </m:r>
            </m:e>
            <m:sub>
              <m:r>
                <m:t>k</m:t>
              </m:r>
            </m:sub>
          </m:sSub>
          <m:r>
            <m:rPr>
              <m:sty m:val="p"/>
            </m:rPr>
            <m:t>*</m:t>
          </m:r>
          <m:sSub>
            <m:e>
              <m:r>
                <m:t>N</m:t>
              </m:r>
            </m:e>
            <m:sub>
              <m:r>
                <m:t>k</m:t>
              </m:r>
            </m:sub>
          </m:sSub>
        </m:oMath>
      </m:oMathPara>
    </w:p>
    <w:p>
      <w:pPr>
        <w:pStyle w:val="FirstParagraph"/>
      </w:pPr>
      <w:r>
        <w:br/>
      </w:r>
      <w:r>
        <w:t xml:space="preserve">where,</w:t>
      </w:r>
      <w:r>
        <w:br/>
      </w:r>
      <m:oMath>
        <m:sSub>
          <m:e>
            <m:r>
              <m:rPr>
                <m:sty m:val="p"/>
                <m:scr m:val="script"/>
              </m:rPr>
              <m:t>B</m:t>
            </m:r>
          </m:e>
          <m:sub>
            <m:r>
              <m:rPr>
                <m:sty m:val="p"/>
                <m:scr m:val="script"/>
              </m:rPr>
              <m:t>k</m:t>
            </m:r>
          </m:sub>
        </m:sSub>
      </m:oMath>
      <w:r>
        <w:t xml:space="preserve"> </w:t>
      </w:r>
      <w:r>
        <w:t xml:space="preserve">is the square transition matrix from time</w:t>
      </w:r>
      <w:r>
        <w:t xml:space="preserve"> </w:t>
      </w:r>
      <m:oMath>
        <m:r>
          <m:t>k</m:t>
        </m:r>
      </m:oMath>
      <w:r>
        <w:t xml:space="preserve"> </w:t>
      </w:r>
      <w:r>
        <w:t xml:space="preserve">to time</w:t>
      </w:r>
      <w:r>
        <w:t xml:space="preserve"> </w:t>
      </w:r>
      <m:oMath>
        <m:r>
          <m:t>k</m:t>
        </m:r>
        <m:r>
          <m:rPr>
            <m:sty m:val="p"/>
          </m:rPr>
          <m:t>+</m:t>
        </m:r>
        <m:r>
          <m:t>1</m:t>
        </m:r>
      </m:oMath>
      <w:r>
        <w:t xml:space="preserve">, and</w:t>
      </w:r>
      <w:r>
        <w:br/>
      </w:r>
      <m:oMath>
        <m:r>
          <m:t>N</m:t>
        </m:r>
      </m:oMath>
      <w:r>
        <w:t xml:space="preserve"> </w:t>
      </w:r>
      <w:r>
        <w:t xml:space="preserve">is the population vector (in column matrix form) of eight rows and one column.</w:t>
      </w:r>
      <w:r>
        <w:br/>
      </w:r>
      <w:r>
        <w:t xml:space="preserve">Waterhemp population transition in one crop phase, from pre-planting tillage to winter dormancy is calculated with</w:t>
      </w:r>
    </w:p>
    <w:p>
      <w:pPr>
        <w:pStyle w:val="BodyText"/>
      </w:pPr>
      <m:oMathPara>
        <m:oMathParaPr>
          <m:jc m:val="center"/>
        </m:oMathParaPr>
        <m:oMath>
          <m:sSub>
            <m:e>
              <m:r>
                <m:t>N</m:t>
              </m:r>
            </m:e>
            <m:sub>
              <m:sSub>
                <m:e>
                  <m:r>
                    <m:t>r</m:t>
                  </m:r>
                </m:e>
                <m:sub>
                  <m:r>
                    <m:t>c</m:t>
                  </m:r>
                  <m:r>
                    <m:rPr>
                      <m:sty m:val="p"/>
                    </m:rPr>
                    <m:t>,</m:t>
                  </m:r>
                  <m:r>
                    <m:t>k</m:t>
                  </m:r>
                  <m:r>
                    <m:rPr>
                      <m:sty m:val="p"/>
                    </m:rPr>
                    <m:t>+</m:t>
                  </m:r>
                  <m:r>
                    <m:t>1</m:t>
                  </m:r>
                </m:sub>
              </m:sSub>
            </m:sub>
          </m:sSub>
          <m:r>
            <m:rPr>
              <m:sty m:val="p"/>
            </m:rPr>
            <m:t>=</m:t>
          </m:r>
          <m:sSub>
            <m:e>
              <m:r>
                <m:t>N</m:t>
              </m:r>
            </m:e>
            <m:sub>
              <m:sSub>
                <m:e>
                  <m:r>
                    <m:t>r</m:t>
                  </m:r>
                </m:e>
                <m:sub>
                  <m:r>
                    <m:t>c</m:t>
                  </m:r>
                  <m:r>
                    <m:rPr>
                      <m:sty m:val="p"/>
                    </m:rPr>
                    <m:t>,</m:t>
                  </m:r>
                  <m:r>
                    <m:t>h</m:t>
                  </m:r>
                </m:sub>
              </m:sSub>
            </m:sub>
          </m:sSub>
          <m:r>
            <m:rPr>
              <m:sty m:val="p"/>
            </m:rPr>
            <m:t>*</m:t>
          </m:r>
          <m:nary>
            <m:naryPr>
              <m:chr m:val="∏"/>
              <m:limLoc m:val="undOvr"/>
              <m:subHide m:val="0"/>
              <m:supHide m:val="0"/>
            </m:naryPr>
            <m:sub>
              <m:r>
                <m:t>k</m:t>
              </m:r>
              <m:r>
                <m:rPr>
                  <m:sty m:val="p"/>
                </m:rPr>
                <m:t>=</m:t>
              </m:r>
              <m:r>
                <m:t>1</m:t>
              </m:r>
            </m:sub>
            <m:sup>
              <m:r>
                <m:t>6</m:t>
              </m:r>
            </m:sup>
            <m:e>
              <m:sSub>
                <m:e>
                  <m:r>
                    <m:t>B</m:t>
                  </m:r>
                </m:e>
                <m:sub>
                  <m:r>
                    <m:t>k</m:t>
                  </m:r>
                </m:sub>
              </m:sSub>
            </m:e>
          </m:nary>
          <m:r>
            <m:t> </m:t>
          </m:r>
          <m:r>
            <m:t> </m:t>
          </m:r>
          <m:r>
            <m:t> </m:t>
          </m:r>
          <m:r>
            <m:t> </m:t>
          </m:r>
          <m:r>
            <m:t> </m:t>
          </m:r>
          <m:d>
            <m:dPr>
              <m:begChr m:val="["/>
              <m:endChr m:val="]"/>
              <m:sepChr m:val=""/>
              <m:grow/>
            </m:dPr>
            <m:e>
              <m:r>
                <m:t>1</m:t>
              </m:r>
            </m:e>
          </m:d>
        </m:oMath>
      </m:oMathPara>
    </w:p>
    <w:p>
      <w:pPr>
        <w:pStyle w:val="FirstParagraph"/>
      </w:pPr>
      <w:r>
        <w:br/>
      </w:r>
      <w:r>
        <w:t xml:space="preserve">where,</w:t>
      </w:r>
      <w:r>
        <w:br/>
      </w:r>
      <m:oMath>
        <m:sSub>
          <m:e>
            <m:r>
              <m:t>r</m:t>
            </m:r>
          </m:e>
          <m:sub>
            <m:r>
              <m:t>c</m:t>
            </m:r>
          </m:sub>
        </m:sSub>
      </m:oMath>
      <w:r>
        <w:t xml:space="preserve"> </w:t>
      </w:r>
      <w:r>
        <w:t xml:space="preserve">is the index for the</w:t>
      </w:r>
      <w:r>
        <w:t xml:space="preserve"> </w:t>
      </w:r>
      <m:oMath>
        <m:sSup>
          <m:e>
            <m:r>
              <m:t>c</m:t>
            </m:r>
          </m:e>
          <m:sup>
            <m:r>
              <m:t>t</m:t>
            </m:r>
            <m:r>
              <m:t>h</m:t>
            </m:r>
          </m:sup>
        </m:sSup>
      </m:oMath>
      <w:r>
        <w:t xml:space="preserve"> </w:t>
      </w:r>
      <w:r>
        <w:t xml:space="preserve">crop phase in a particular rotation,</w:t>
      </w:r>
      <w:r>
        <w:br/>
      </w:r>
      <m:oMath>
        <m:sSub>
          <m:e>
            <m:r>
              <m:t>N</m:t>
            </m:r>
          </m:e>
          <m:sub>
            <m:sSub>
              <m:e>
                <m:r>
                  <m:t>r</m:t>
                </m:r>
              </m:e>
              <m:sub>
                <m:r>
                  <m:t>c</m:t>
                </m:r>
              </m:sub>
            </m:sSub>
          </m:sub>
        </m:sSub>
      </m:oMath>
      <w:r>
        <w:t xml:space="preserve"> </w:t>
      </w:r>
      <w:r>
        <w:t xml:space="preserve">is the Leslie’s population matrix in crop phase</w:t>
      </w:r>
      <w:r>
        <w:t xml:space="preserve"> </w:t>
      </w:r>
      <m:oMath>
        <m:sSup>
          <m:e>
            <m:r>
              <m:t>c</m:t>
            </m:r>
          </m:e>
          <m:sup>
            <m:r>
              <m:t>t</m:t>
            </m:r>
            <m:r>
              <m:t>h</m:t>
            </m:r>
          </m:sup>
        </m:sSup>
      </m:oMath>
      <w:r>
        <w:t xml:space="preserve">, and</w:t>
      </w:r>
      <w:r>
        <w:t xml:space="preserve"> </w:t>
      </w:r>
      <w:r>
        <w:t xml:space="preserve">(Leslie 1945)</w:t>
      </w:r>
      <w:r>
        <w:br/>
      </w:r>
      <m:oMath>
        <m:sSub>
          <m:e>
            <m:r>
              <m:t>B</m:t>
            </m:r>
          </m:e>
          <m:sub>
            <m:r>
              <m:t>k</m:t>
            </m:r>
          </m:sub>
        </m:sSub>
      </m:oMath>
      <w:r>
        <w:t xml:space="preserve"> </w:t>
      </w:r>
      <w:r>
        <w:t xml:space="preserve">is the population transition matrix during summer</w:t>
      </w:r>
    </w:p>
    <w:p>
      <w:pPr>
        <w:pStyle w:val="BodyText"/>
      </w:pPr>
      <w:r>
        <w:t xml:space="preserve">The main factors that contribute to the success of the control practices are tillage regime, chemical herbicide, cultivation practice and crops’ competitiveness.</w:t>
      </w:r>
      <w:r>
        <w:t xml:space="preserve"> </w:t>
      </w:r>
      <w:r>
        <w:t xml:space="preserve">Among those four factors, crop competitiveness will not be factorized because this factor is dependent on other factors.</w:t>
      </w:r>
    </w:p>
    <w:p>
      <w:pPr>
        <w:pStyle w:val="BodyText"/>
      </w:pPr>
      <w:r>
        <w:t xml:space="preserve">The following parameters were collected and plugged into a general population model to examine when and where large changes in population dynamics might occur.</w:t>
      </w:r>
      <w:r>
        <w:t xml:space="preserve"> </w:t>
      </w:r>
      <w:r>
        <w:t xml:space="preserve">The list of parameters and the corresponding formula is presented in Table 4.1 below.</w:t>
      </w:r>
    </w:p>
    <w:p>
      <w:pPr>
        <w:pStyle w:val="BodyText"/>
      </w:pPr>
      <w:r>
        <w:t xml:space="preserve">Matrix calculation in this study was performed in R version 4.2.0</w:t>
      </w:r>
      <w:r>
        <w:t xml:space="preserve"> </w:t>
      </w:r>
      <w:r>
        <w:t xml:space="preserve">(R Development Core Team 2022)</w:t>
      </w:r>
      <w:r>
        <w:t xml:space="preserve">. The population growth rate,</w:t>
      </w:r>
      <w:r>
        <w:t xml:space="preserve"> </w:t>
      </w:r>
      <m:oMath>
        <m:r>
          <m:t>λ</m:t>
        </m:r>
      </m:oMath>
      <w:r>
        <w:t xml:space="preserve">, sensitivity and elasticity were calculated with</w:t>
      </w:r>
      <w:r>
        <w:t xml:space="preserve"> </w:t>
      </w:r>
      <w:r>
        <w:rPr>
          <w:rStyle w:val="VerbatimChar"/>
        </w:rPr>
        <w:t xml:space="preserve">eigen.analysis</w:t>
      </w:r>
      <w:r>
        <w:t xml:space="preserve"> </w:t>
      </w:r>
      <w:r>
        <w:t xml:space="preserve">function in the</w:t>
      </w:r>
      <w:r>
        <w:t xml:space="preserve"> </w:t>
      </w:r>
      <w:r>
        <w:rPr>
          <w:rStyle w:val="VerbatimChar"/>
        </w:rPr>
        <w:t xml:space="preserve">popbio</w:t>
      </w:r>
      <w:r>
        <w:t xml:space="preserve"> </w:t>
      </w:r>
      <w:r>
        <w:t xml:space="preserve">package version 2.7</w:t>
      </w:r>
      <w:r>
        <w:t xml:space="preserve"> </w:t>
      </w:r>
      <w:r>
        <w:t xml:space="preserve">(Stubben, Milligan, and Nantel 2020)</w:t>
      </w:r>
      <w:r>
        <w:t xml:space="preserve">.</w:t>
      </w:r>
    </w:p>
    <w:bookmarkStart w:id="42" w:name="X9b2f5bc5a79ed714dc79a8b1dabb5e9d9d85675"/>
    <w:p>
      <w:pPr>
        <w:pStyle w:val="Heading4"/>
      </w:pPr>
      <w:r>
        <w:t xml:space="preserve">Sensitivity of population growth rate on each lower-level parameter</w:t>
      </w:r>
    </w:p>
    <w:p>
      <w:pPr>
        <w:pStyle w:val="FirstParagraph"/>
      </w:pPr>
      <w:r>
        <w:t xml:space="preserve">In all the Life Table Retrospective Experiment (LTRE) procedures performed here, the conventional corn weed management treatment is the reference treatment and low herbicide the treatment of interest. Following</w:t>
      </w:r>
      <w:r>
        <w:t xml:space="preserve"> </w:t>
      </w:r>
      <w:r>
        <w:t xml:space="preserve">Caswell and Trevisan (1994)</w:t>
      </w:r>
      <w:r>
        <w:t xml:space="preserve">’s notions.</w:t>
      </w:r>
    </w:p>
    <w:p>
      <w:pPr>
        <w:pStyle w:val="BodyText"/>
      </w:pPr>
      <w:r>
        <w:t xml:space="preserve">The sensitivities of</w:t>
      </w:r>
      <w:r>
        <w:t xml:space="preserve"> </w:t>
      </w:r>
      <m:oMath>
        <m:r>
          <m:t>λ</m:t>
        </m:r>
      </m:oMath>
      <w:r>
        <w:t xml:space="preserve"> </w:t>
      </w:r>
      <w:r>
        <w:t xml:space="preserve">to changes in sub-annual demographic parameters are not presented in this manuscript, but</w:t>
      </w:r>
      <w:r>
        <w:t xml:space="preserve"> </w:t>
      </w:r>
      <m:oMath>
        <m:sSub>
          <m:e>
            <m:r>
              <m:t>S</m:t>
            </m:r>
          </m:e>
          <m:sub>
            <m:sSub>
              <m:e>
                <m:r>
                  <m:t>B</m:t>
                </m:r>
              </m:e>
              <m:sub>
                <m:r>
                  <m:t>h</m:t>
                </m:r>
              </m:sub>
            </m:sSub>
          </m:sub>
        </m:sSub>
      </m:oMath>
      <w:r>
        <w:t xml:space="preserve"> </w:t>
      </w:r>
      <w:r>
        <w:t xml:space="preserve">were used as intermediate parameters to calculate the elasticity of</w:t>
      </w:r>
      <w:r>
        <w:t xml:space="preserve"> </w:t>
      </w:r>
      <m:oMath>
        <m:r>
          <m:t>λ</m:t>
        </m:r>
      </m:oMath>
      <w:r>
        <w:t xml:space="preserve"> </w:t>
      </w:r>
      <w:r>
        <w:t xml:space="preserve">to each element of a sub-annual projection matrix</w:t>
      </w:r>
      <w:r>
        <w:t xml:space="preserve"> </w:t>
      </w:r>
      <w:r>
        <w:rPr>
          <w:iCs/>
          <w:i/>
        </w:rPr>
        <w:t xml:space="preserve">and variance of</w:t>
      </w:r>
      <w:r>
        <w:rPr>
          <w:iCs/>
          <w:i/>
        </w:rPr>
        <w:t xml:space="preserve"> </w:t>
      </w:r>
      <m:oMath>
        <m:r>
          <m:t>λ</m:t>
        </m:r>
      </m:oMath>
      <w:r>
        <w:t xml:space="preserve">. The sensitivity of</w:t>
      </w:r>
      <w:r>
        <w:t xml:space="preserve"> </w:t>
      </w:r>
      <m:oMath>
        <m:r>
          <m:t>λ</m:t>
        </m:r>
      </m:oMath>
      <w:r>
        <w:t xml:space="preserve"> </w:t>
      </w:r>
      <w:r>
        <w:t xml:space="preserve">to each element of each sub-annual periodic matrix is calculated with</w:t>
      </w:r>
    </w:p>
    <w:p>
      <w:pPr>
        <w:pStyle w:val="BodyText"/>
      </w:pPr>
      <m:oMathPara>
        <m:oMathParaPr>
          <m:jc m:val="center"/>
        </m:oMathParaPr>
        <m:oMath>
          <m:sSub>
            <m:e>
              <m:r>
                <m:t>S</m:t>
              </m:r>
            </m:e>
            <m:sub>
              <m:sSub>
                <m:e>
                  <m:r>
                    <m:t>B</m:t>
                  </m:r>
                </m:e>
                <m:sub>
                  <m:r>
                    <m:t>h</m:t>
                  </m:r>
                </m:sub>
              </m:sSub>
            </m:sub>
          </m:sSub>
          <m:r>
            <m:rPr>
              <m:sty m:val="p"/>
            </m:rPr>
            <m:t>=</m:t>
          </m:r>
          <m:sSup>
            <m:e>
              <m:d>
                <m:dPr>
                  <m:begChr m:val="("/>
                  <m:endChr m:val=")"/>
                  <m:sepChr m:val=""/>
                  <m:grow/>
                </m:dPr>
                <m:e>
                  <m:sSub>
                    <m:e>
                      <m:r>
                        <m:t>B</m:t>
                      </m:r>
                    </m:e>
                    <m:sub>
                      <m:d>
                        <m:dPr>
                          <m:begChr m:val="("/>
                          <m:endChr m:val=")"/>
                          <m:sepChr m:val=""/>
                          <m:grow/>
                        </m:dPr>
                        <m:e>
                          <m:r>
                            <m:t>h</m:t>
                          </m:r>
                          <m:r>
                            <m:rPr>
                              <m:sty m:val="p"/>
                            </m:rPr>
                            <m:t>−</m:t>
                          </m:r>
                          <m:r>
                            <m:t>1</m:t>
                          </m:r>
                        </m:e>
                      </m:d>
                    </m:sub>
                  </m:sSub>
                  <m:r>
                    <m:rPr>
                      <m:sty m:val="p"/>
                    </m:rPr>
                    <m:t>.</m:t>
                  </m:r>
                  <m:r>
                    <m:rPr>
                      <m:sty m:val="p"/>
                    </m:rPr>
                    <m:t>.</m:t>
                  </m:r>
                  <m:r>
                    <m:rPr>
                      <m:sty m:val="p"/>
                    </m:rPr>
                    <m:t>.</m:t>
                  </m:r>
                  <m:sSub>
                    <m:e>
                      <m:r>
                        <m:t>B</m:t>
                      </m:r>
                    </m:e>
                    <m:sub>
                      <m:d>
                        <m:dPr>
                          <m:begChr m:val="("/>
                          <m:endChr m:val=")"/>
                          <m:sepChr m:val=""/>
                          <m:grow/>
                        </m:dPr>
                        <m:e>
                          <m:r>
                            <m:t>1</m:t>
                          </m:r>
                        </m:e>
                      </m:d>
                    </m:sub>
                  </m:sSub>
                  <m:r>
                    <m:rPr>
                      <m:sty m:val="p"/>
                    </m:rPr>
                    <m:t>.</m:t>
                  </m:r>
                  <m:r>
                    <m:rPr>
                      <m:sty m:val="p"/>
                    </m:rPr>
                    <m:t>.</m:t>
                  </m:r>
                  <m:r>
                    <m:rPr>
                      <m:sty m:val="p"/>
                    </m:rPr>
                    <m:t>.</m:t>
                  </m:r>
                  <m:sSub>
                    <m:e>
                      <m:r>
                        <m:t>B</m:t>
                      </m:r>
                    </m:e>
                    <m:sub>
                      <m:d>
                        <m:dPr>
                          <m:begChr m:val="("/>
                          <m:endChr m:val=")"/>
                          <m:sepChr m:val=""/>
                          <m:grow/>
                        </m:dPr>
                        <m:e>
                          <m:r>
                            <m:t>h</m:t>
                          </m:r>
                          <m:r>
                            <m:rPr>
                              <m:sty m:val="p"/>
                            </m:rPr>
                            <m:t>+</m:t>
                          </m:r>
                          <m:r>
                            <m:t>1</m:t>
                          </m:r>
                        </m:e>
                      </m:d>
                    </m:sub>
                  </m:sSub>
                </m:e>
              </m:d>
            </m:e>
            <m:sup>
              <m:r>
                <m:t>T</m:t>
              </m:r>
            </m:sup>
          </m:sSup>
          <m:sSub>
            <m:e>
              <m:r>
                <m:t>S</m:t>
              </m:r>
            </m:e>
            <m:sub>
              <m:r>
                <m:t>A</m:t>
              </m:r>
              <m:d>
                <m:dPr>
                  <m:begChr m:val="("/>
                  <m:endChr m:val=")"/>
                  <m:sepChr m:val=""/>
                  <m:grow/>
                </m:dPr>
                <m:e>
                  <m:r>
                    <m:t>h</m:t>
                  </m:r>
                </m:e>
              </m:d>
            </m:sub>
          </m:sSub>
          <m:r>
            <m:rPr>
              <m:sty m:val="p"/>
            </m:rPr>
            <m:t>=</m:t>
          </m:r>
          <m:sSup>
            <m:e>
              <m:r>
                <m:t>D</m:t>
              </m:r>
            </m:e>
            <m:sup>
              <m:r>
                <m:t>T</m:t>
              </m:r>
            </m:sup>
          </m:sSup>
          <m:sSub>
            <m:e>
              <m:r>
                <m:t>S</m:t>
              </m:r>
            </m:e>
            <m:sub>
              <m:r>
                <m:t>A</m:t>
              </m:r>
              <m:d>
                <m:dPr>
                  <m:begChr m:val="("/>
                  <m:endChr m:val=")"/>
                  <m:sepChr m:val=""/>
                  <m:grow/>
                </m:dPr>
                <m:e>
                  <m:r>
                    <m:t>h</m:t>
                  </m:r>
                </m:e>
              </m:d>
            </m:sub>
          </m:sSub>
          <m:r>
            <m:t> </m:t>
          </m:r>
          <m:r>
            <m:t> </m:t>
          </m:r>
          <m:r>
            <m:t> </m:t>
          </m:r>
          <m:d>
            <m:dPr>
              <m:begChr m:val="("/>
              <m:endChr m:val=")"/>
              <m:sepChr m:val=""/>
              <m:grow/>
            </m:dPr>
            <m:e>
              <m:r>
                <m:t>1</m:t>
              </m:r>
            </m:e>
          </m:d>
        </m:oMath>
      </m:oMathPara>
    </w:p>
    <w:p>
      <w:pPr>
        <w:pStyle w:val="FirstParagraph"/>
      </w:pPr>
      <w:r>
        <w:t xml:space="preserve">where,</w:t>
      </w:r>
      <w:r>
        <w:t xml:space="preserve"> </w:t>
      </w:r>
      <m:oMath>
        <m:sSub>
          <m:e>
            <m:r>
              <m:t>B</m:t>
            </m:r>
          </m:e>
          <m:sub>
            <m:r>
              <m:t>h</m:t>
            </m:r>
          </m:sub>
        </m:sSub>
      </m:oMath>
      <w:r>
        <w:t xml:space="preserve"> </w:t>
      </w:r>
      <w:r>
        <w:t xml:space="preserve">is the periodic projection matrix for sub-annual period h;</w:t>
      </w:r>
      <w:r>
        <w:t xml:space="preserve"> </w:t>
      </w:r>
      <m:oMath>
        <m:r>
          <m:t>h</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w:t>
      </w:r>
      <w:r>
        <w:t xml:space="preserve"> </w:t>
      </w:r>
      <m:oMath>
        <m:sSup>
          <m:e>
            <m:r>
              <m:t>D</m:t>
            </m:r>
          </m:e>
          <m:sup>
            <m:r>
              <m:t>T</m:t>
            </m:r>
          </m:sup>
        </m:sSup>
      </m:oMath>
      <w:r>
        <w:t xml:space="preserve"> </w:t>
      </w:r>
      <w:r>
        <w:t xml:space="preserve">is the transpose of the matrix product of all the</w:t>
      </w:r>
      <w:r>
        <w:t xml:space="preserve"> </w:t>
      </w:r>
      <m:oMath>
        <m:sSub>
          <m:e>
            <m:r>
              <m:t>B</m:t>
            </m:r>
          </m:e>
          <m:sub>
            <m:r>
              <m:t>h</m:t>
            </m:r>
          </m:sub>
        </m:sSub>
      </m:oMath>
      <w:r>
        <w:t xml:space="preserve">, and</w:t>
      </w:r>
      <w:r>
        <w:t xml:space="preserve"> </w:t>
      </w:r>
      <m:oMath>
        <m:sSub>
          <m:e>
            <m:r>
              <m:t>S</m:t>
            </m:r>
          </m:e>
          <m:sub>
            <m:r>
              <m:t>A</m:t>
            </m:r>
            <m:d>
              <m:dPr>
                <m:begChr m:val="("/>
                <m:endChr m:val=")"/>
                <m:sepChr m:val=""/>
                <m:grow/>
              </m:dPr>
              <m:e>
                <m:r>
                  <m:t>h</m:t>
                </m:r>
              </m:e>
            </m:d>
          </m:sub>
        </m:sSub>
      </m:oMath>
      <w:r>
        <w:t xml:space="preserve"> </w:t>
      </w:r>
      <w:r>
        <w:t xml:space="preserve">is the sensitivity of</w:t>
      </w:r>
      <w:r>
        <w:t xml:space="preserve"> </w:t>
      </w:r>
      <m:oMath>
        <m:r>
          <m:t>λ</m:t>
        </m:r>
      </m:oMath>
      <w:r>
        <w:t xml:space="preserve"> </w:t>
      </w:r>
      <w:r>
        <w:t xml:space="preserve">to each element of</w:t>
      </w:r>
      <w:r>
        <w:t xml:space="preserve"> </w:t>
      </w:r>
      <m:oMath>
        <m:sSubSup>
          <m:e>
            <m:r>
              <m:t>A</m:t>
            </m:r>
          </m:e>
          <m:sub>
            <m:r>
              <m:t>h</m:t>
            </m:r>
          </m:sub>
          <m:sup>
            <m:r>
              <m:rPr>
                <m:sty m:val="p"/>
              </m:rPr>
              <m:t>*</m:t>
            </m:r>
          </m:sup>
        </m:sSubSup>
      </m:oMath>
      <w:r>
        <w:t xml:space="preserve"> </w:t>
      </w:r>
      <w:r>
        <w:t xml:space="preserve">(the average annual projection matrix between the reference treatment and the treatment of interest).</w:t>
      </w:r>
    </w:p>
    <w:p>
      <w:pPr>
        <w:pStyle w:val="BodyText"/>
      </w:pPr>
      <w:r>
        <w:t xml:space="preserve">In general, each</w:t>
      </w:r>
      <w:r>
        <w:t xml:space="preserve"> </w:t>
      </w:r>
      <m:oMath>
        <m:sSub>
          <m:e>
            <m:r>
              <m:t>S</m:t>
            </m:r>
          </m:e>
          <m:sub>
            <m:sSub>
              <m:e>
                <m:r>
                  <m:t>B</m:t>
                </m:r>
              </m:e>
              <m:sub>
                <m:r>
                  <m:t>h</m:t>
                </m:r>
              </m:sub>
            </m:sSub>
          </m:sub>
        </m:sSub>
      </m:oMath>
      <w:r>
        <w:t xml:space="preserve">, except for</w:t>
      </w:r>
      <w:r>
        <w:t xml:space="preserve"> </w:t>
      </w:r>
      <m:oMath>
        <m:sSub>
          <m:e>
            <m:r>
              <m:t>S</m:t>
            </m:r>
          </m:e>
          <m:sub>
            <m:sSub>
              <m:e>
                <m:r>
                  <m:t>B</m:t>
                </m:r>
              </m:e>
              <m:sub>
                <m:r>
                  <m:t>γ</m:t>
                </m:r>
              </m:sub>
            </m:sSub>
          </m:sub>
        </m:sSub>
      </m:oMath>
      <w:r>
        <w:t xml:space="preserve"> </w:t>
      </w:r>
      <w:r>
        <w:t xml:space="preserve">- sensitivity of</w:t>
      </w:r>
      <w:r>
        <w:t xml:space="preserve"> </w:t>
      </w:r>
      <m:oMath>
        <m:r>
          <m:t>λ</m:t>
        </m:r>
      </m:oMath>
      <w:r>
        <w:t xml:space="preserve"> </w:t>
      </w:r>
      <w:r>
        <w:t xml:space="preserve">to summer survival, is a 8x2 matrix. In all</w:t>
      </w:r>
      <w:r>
        <w:t xml:space="preserve"> </w:t>
      </w:r>
      <m:oMath>
        <m:sSub>
          <m:e>
            <m:r>
              <m:t>S</m:t>
            </m:r>
          </m:e>
          <m:sub>
            <m:sSub>
              <m:e>
                <m:r>
                  <m:t>B</m:t>
                </m:r>
              </m:e>
              <m:sub>
                <m:r>
                  <m:t>h</m:t>
                </m:r>
              </m:sub>
            </m:sSub>
          </m:sub>
        </m:sSub>
      </m:oMath>
      <w:r>
        <w:t xml:space="preserve">, only the first column was used in calculating the variance of population growth rate because the first column contains sensitivity values that concerns the population dynamics from changes in eight categories of interest, namely, seed density at the 0-2 cm soil stratum, seed density at the 2-20 cm soil stratum, and plant cohort one through six. The second through eighth columns are irrelevant under this manuscript’s scope because those columns explain theoretical changes to</w:t>
      </w:r>
      <w:r>
        <w:t xml:space="preserve"> </w:t>
      </w:r>
      <m:oMath>
        <m:r>
          <m:t>λ</m:t>
        </m:r>
      </m:oMath>
      <w:r>
        <w:t xml:space="preserve"> </w:t>
      </w:r>
      <w:r>
        <w:t xml:space="preserve">if other patterns occurred in the population dynamics, such as if seeds from the 2-20 cm emerged and contributed (column two), or if plant cohort one</w:t>
      </w:r>
      <w:r>
        <w:t xml:space="preserve"> </w:t>
      </w:r>
      <w:r>
        <w:t xml:space="preserve">“</w:t>
      </w:r>
      <w:r>
        <w:t xml:space="preserve">becomes</w:t>
      </w:r>
      <w:r>
        <w:t xml:space="preserve">”</w:t>
      </w:r>
      <w:r>
        <w:t xml:space="preserve"> </w:t>
      </w:r>
      <w:r>
        <w:t xml:space="preserve">cohort two (column three), and so on.</w:t>
      </w:r>
    </w:p>
    <w:bookmarkEnd w:id="42"/>
    <w:bookmarkStart w:id="43" w:name="population-growth-rate-and-its-variance"/>
    <w:p>
      <w:pPr>
        <w:pStyle w:val="Heading4"/>
      </w:pPr>
      <w:r>
        <w:t xml:space="preserve">Population growth rate and its variance</w:t>
      </w:r>
    </w:p>
    <w:p>
      <w:pPr>
        <w:pStyle w:val="FirstParagraph"/>
      </w:pPr>
      <w:r>
        <w:t xml:space="preserve">The variance of population growth rate in each rotation was calculated with</w:t>
      </w:r>
      <w:r>
        <w:t xml:space="preserve"> </w:t>
      </w:r>
      <m:oMath>
        <m:r>
          <m:t>V</m:t>
        </m:r>
        <m:r>
          <m:t>a</m:t>
        </m:r>
        <m:r>
          <m:t>r</m:t>
        </m:r>
        <m:d>
          <m:dPr>
            <m:begChr m:val="("/>
            <m:endChr m:val=")"/>
            <m:sepChr m:val=""/>
            <m:grow/>
          </m:dPr>
          <m:e>
            <m:r>
              <m:t>λ</m:t>
            </m:r>
          </m:e>
        </m:d>
        <m:r>
          <m:rPr>
            <m:sty m:val="p"/>
          </m:rPr>
          <m:t>=</m:t>
        </m:r>
        <m:nary>
          <m:naryPr>
            <m:chr m:val="∑"/>
            <m:limLoc m:val="undOvr"/>
            <m:subHide m:val="0"/>
            <m:supHide m:val="0"/>
          </m:naryPr>
          <m:sub>
            <m:r>
              <m:t>i</m:t>
            </m:r>
          </m:sub>
          <m:sup>
            <m:r>
              <m:t>b</m:t>
            </m:r>
          </m:sup>
          <m:e>
            <m:sSubSup>
              <m:e>
                <m:r>
                  <m:t>S</m:t>
                </m:r>
              </m:e>
              <m:sub>
                <m:r>
                  <m:t>b</m:t>
                </m:r>
              </m:sub>
              <m:sup>
                <m:r>
                  <m:t>T</m:t>
                </m:r>
              </m:sup>
            </m:sSubSup>
          </m:e>
        </m:nary>
        <m:sSub>
          <m:e>
            <m:r>
              <m:t>V</m:t>
            </m:r>
          </m:e>
          <m:sub>
            <m:r>
              <m:t>b</m:t>
            </m:r>
          </m:sub>
        </m:sSub>
        <m:sSub>
          <m:e>
            <m:r>
              <m:t>S</m:t>
            </m:r>
          </m:e>
          <m:sub>
            <m:r>
              <m:t>b</m:t>
            </m:r>
          </m:sub>
        </m:sSub>
      </m:oMath>
      <w:r>
        <w:t xml:space="preserve"> </w:t>
      </w:r>
      <w:r>
        <w:t xml:space="preserve">where</w:t>
      </w:r>
      <w:r>
        <w:t xml:space="preserve"> </w:t>
      </w:r>
      <m:oMath>
        <m:sSub>
          <m:e>
            <m:r>
              <m:t>V</m:t>
            </m:r>
          </m:e>
          <m:sub>
            <m:r>
              <m:t>h</m:t>
            </m:r>
          </m:sub>
        </m:sSub>
      </m:oMath>
      <w:r>
        <w:t xml:space="preserve"> </w:t>
      </w:r>
      <w:r>
        <w:t xml:space="preserve">is the variance-covariance matrix of each</w:t>
      </w:r>
      <w:r>
        <w:t xml:space="preserve"> </w:t>
      </w:r>
      <m:oMath>
        <m:sSub>
          <m:e>
            <m:r>
              <m:t>B</m:t>
            </m:r>
          </m:e>
          <m:sub>
            <m:r>
              <m:t>h</m:t>
            </m:r>
          </m:sub>
        </m:sSub>
      </m:oMath>
      <w:r>
        <w:t xml:space="preserve"> </w:t>
      </w:r>
      <w:r>
        <w:t xml:space="preserve">matrix. The variance of annualized population growth rates (</w:t>
      </w:r>
      <m:oMath>
        <m:r>
          <m:t>V</m:t>
        </m:r>
        <m:r>
          <m:t>a</m:t>
        </m:r>
        <m:r>
          <m:t>r</m:t>
        </m:r>
        <m:d>
          <m:dPr>
            <m:begChr m:val="("/>
            <m:endChr m:val=")"/>
            <m:sepChr m:val=""/>
            <m:grow/>
          </m:dPr>
          <m:e>
            <m:sSub>
              <m:e>
                <m:r>
                  <m:t>λ</m:t>
                </m:r>
              </m:e>
              <m:sub>
                <m:r>
                  <m:t>2</m:t>
                </m:r>
              </m:sub>
            </m:sSub>
          </m:e>
        </m:d>
      </m:oMath>
      <w:r>
        <w:t xml:space="preserve">,</w:t>
      </w:r>
      <w:r>
        <w:t xml:space="preserve"> </w:t>
      </w:r>
      <m:oMath>
        <m:r>
          <m:t>V</m:t>
        </m:r>
        <m:r>
          <m:t>a</m:t>
        </m:r>
        <m:r>
          <m:t>r</m:t>
        </m:r>
        <m:d>
          <m:dPr>
            <m:begChr m:val="("/>
            <m:endChr m:val=")"/>
            <m:sepChr m:val=""/>
            <m:grow/>
          </m:dPr>
          <m:e>
            <m:sSub>
              <m:e>
                <m:r>
                  <m:t>λ</m:t>
                </m:r>
              </m:e>
              <m:sub>
                <m:r>
                  <m:t>3</m:t>
                </m:r>
              </m:sub>
            </m:sSub>
          </m:e>
        </m:d>
      </m:oMath>
      <w:r>
        <w:t xml:space="preserve">, and</w:t>
      </w:r>
      <w:r>
        <w:t xml:space="preserve"> </w:t>
      </w:r>
      <m:oMath>
        <m:r>
          <m:t>V</m:t>
        </m:r>
        <m:r>
          <m:t>a</m:t>
        </m:r>
        <m:r>
          <m:t>r</m:t>
        </m:r>
        <m:d>
          <m:dPr>
            <m:begChr m:val="("/>
            <m:endChr m:val=")"/>
            <m:sepChr m:val=""/>
            <m:grow/>
          </m:dPr>
          <m:e>
            <m:sSub>
              <m:e>
                <m:r>
                  <m:t>λ</m:t>
                </m:r>
              </m:e>
              <m:sub>
                <m:r>
                  <m:t>4</m:t>
                </m:r>
              </m:sub>
            </m:sSub>
          </m:e>
        </m:d>
      </m:oMath>
      <w:r>
        <w:t xml:space="preserve">) were calculated with Taylor series expansion using the general formula:</w:t>
      </w:r>
      <w:r>
        <w:t xml:space="preserve"> </w:t>
      </w:r>
      <m:oMath>
        <m:r>
          <m:t>V</m:t>
        </m:r>
        <m:r>
          <m:t>a</m:t>
        </m:r>
        <m:r>
          <m:t>r</m:t>
        </m:r>
        <m:d>
          <m:dPr>
            <m:begChr m:val="["/>
            <m:endChr m:val="]"/>
            <m:sepChr m:val=""/>
            <m:grow/>
          </m:dPr>
          <m:e>
            <m:r>
              <m:t>f</m:t>
            </m:r>
            <m:d>
              <m:dPr>
                <m:begChr m:val="("/>
                <m:endChr m:val=")"/>
                <m:sepChr m:val=""/>
                <m:grow/>
              </m:dPr>
              <m:e>
                <m:r>
                  <m:t>λ</m:t>
                </m:r>
              </m:e>
            </m:d>
          </m:e>
        </m:d>
        <m:r>
          <m:rPr>
            <m:sty m:val="p"/>
          </m:rPr>
          <m:t>=</m:t>
        </m:r>
        <m:sSup>
          <m:e>
            <m:r>
              <m:t>f</m:t>
            </m:r>
            <m:r>
              <m:rPr>
                <m:sty m:val="p"/>
              </m:rPr>
              <m:t>′</m:t>
            </m:r>
            <m:d>
              <m:dPr>
                <m:begChr m:val="("/>
                <m:endChr m:val=")"/>
                <m:sepChr m:val=""/>
                <m:grow/>
              </m:dPr>
              <m:e>
                <m:r>
                  <m:t>E</m:t>
                </m:r>
                <m:d>
                  <m:dPr>
                    <m:begChr m:val="("/>
                    <m:endChr m:val=")"/>
                    <m:sepChr m:val=""/>
                    <m:grow/>
                  </m:dPr>
                  <m:e>
                    <m:r>
                      <m:t>λ</m:t>
                    </m:r>
                  </m:e>
                </m:d>
              </m:e>
            </m:d>
          </m:e>
          <m:sup>
            <m:r>
              <m:t>2</m:t>
            </m:r>
          </m:sup>
        </m:sSup>
        <m:r>
          <m:t>V</m:t>
        </m:r>
        <m:r>
          <m:t>a</m:t>
        </m:r>
        <m:r>
          <m:t>r</m:t>
        </m:r>
        <m:d>
          <m:dPr>
            <m:begChr m:val="("/>
            <m:endChr m:val=")"/>
            <m:sepChr m:val=""/>
            <m:grow/>
          </m:dPr>
          <m:e>
            <m:r>
              <m:t>λ</m:t>
            </m:r>
          </m:e>
        </m:d>
      </m:oMath>
      <w:r>
        <w:t xml:space="preserve">, in which</w:t>
      </w:r>
      <w:r>
        <w:t xml:space="preserve"> </w:t>
      </w:r>
      <m:oMath>
        <m:r>
          <m:t>f</m:t>
        </m:r>
        <m:d>
          <m:dPr>
            <m:begChr m:val="("/>
            <m:endChr m:val=")"/>
            <m:sepChr m:val=""/>
            <m:grow/>
          </m:dPr>
          <m:e>
            <m:r>
              <m:t>λ</m:t>
            </m:r>
          </m:e>
        </m:d>
      </m:oMath>
      <w:r>
        <w:t xml:space="preserve"> </w:t>
      </w:r>
      <w:r>
        <w:t xml:space="preserve">is the nth-root function used to annualize the rotation-wise growth rates. For example, the variance of annualized population growth rate in the 2-year rotation was</w:t>
      </w:r>
      <w:r>
        <w:t xml:space="preserve"> </w:t>
      </w:r>
      <m:oMath>
        <m:r>
          <m:t>V</m:t>
        </m:r>
        <m:r>
          <m:t>a</m:t>
        </m:r>
        <m:r>
          <m:t>r</m:t>
        </m:r>
        <m:d>
          <m:dPr>
            <m:begChr m:val="("/>
            <m:endChr m:val=")"/>
            <m:sepChr m:val=""/>
            <m:grow/>
          </m:dPr>
          <m:e>
            <m:sSub>
              <m:e>
                <m:r>
                  <m:t>λ</m:t>
                </m:r>
              </m:e>
              <m:sub>
                <m:r>
                  <m:t>2</m:t>
                </m:r>
              </m:sub>
            </m:sSub>
          </m:e>
        </m:d>
        <m:r>
          <m:rPr>
            <m:sty m:val="p"/>
          </m:rPr>
          <m:t>=</m:t>
        </m:r>
        <m:f>
          <m:fPr>
            <m:type m:val="bar"/>
          </m:fPr>
          <m:num>
            <m:r>
              <m:t>1</m:t>
            </m:r>
          </m:num>
          <m:den>
            <m:r>
              <m:t>4</m:t>
            </m:r>
            <m:sSub>
              <m:e>
                <m:r>
                  <m:t>λ</m:t>
                </m:r>
              </m:e>
              <m:sub>
                <m:r>
                  <m:t>2</m:t>
                </m:r>
                <m:r>
                  <m:t>r</m:t>
                </m:r>
              </m:sub>
            </m:sSub>
          </m:den>
        </m:f>
        <m:r>
          <m:t>V</m:t>
        </m:r>
        <m:r>
          <m:t>a</m:t>
        </m:r>
        <m:r>
          <m:t>r</m:t>
        </m:r>
        <m:d>
          <m:dPr>
            <m:begChr m:val="("/>
            <m:endChr m:val=")"/>
            <m:sepChr m:val=""/>
            <m:grow/>
          </m:dPr>
          <m:e>
            <m:sSub>
              <m:e>
                <m:r>
                  <m:t>λ</m:t>
                </m:r>
              </m:e>
              <m:sub>
                <m:r>
                  <m:t>2</m:t>
                </m:r>
                <m:r>
                  <m:t>r</m:t>
                </m:r>
              </m:sub>
            </m:sSub>
          </m:e>
        </m:d>
      </m:oMath>
      <w:r>
        <w:t xml:space="preserve">, where</w:t>
      </w:r>
      <w:r>
        <w:t xml:space="preserve"> </w:t>
      </w:r>
      <m:oMath>
        <m:sSub>
          <m:e>
            <m:r>
              <m:t>λ</m:t>
            </m:r>
          </m:e>
          <m:sub>
            <m:r>
              <m:t>2</m:t>
            </m:r>
          </m:sub>
        </m:sSub>
        <m:r>
          <m:rPr>
            <m:sty m:val="p"/>
          </m:rPr>
          <m:t>=</m:t>
        </m:r>
        <m:rad>
          <m:radPr>
            <m:degHide m:val="1"/>
          </m:radPr>
          <m:deg/>
          <m:e>
            <m:sSub>
              <m:e>
                <m:r>
                  <m:t>λ</m:t>
                </m:r>
              </m:e>
              <m:sub>
                <m:r>
                  <m:t>2</m:t>
                </m:r>
                <m:r>
                  <m:t>r</m:t>
                </m:r>
              </m:sub>
            </m:sSub>
          </m:e>
        </m:rad>
      </m:oMath>
      <w:r>
        <w:t xml:space="preserve">.</w:t>
      </w:r>
    </w:p>
    <w:bookmarkEnd w:id="43"/>
    <w:bookmarkEnd w:id="44"/>
    <w:bookmarkStart w:id="45" w:name="X38576813a830727caa279e8b8c5885ad7512aa4"/>
    <w:p>
      <w:pPr>
        <w:pStyle w:val="Heading3"/>
      </w:pPr>
      <w:r>
        <w:t xml:space="preserve">Elasticity of population growth rate on each lower-level parameter</w:t>
      </w:r>
    </w:p>
    <w:p>
      <w:pPr>
        <w:pStyle w:val="FirstParagraph"/>
      </w:pPr>
      <w:r>
        <w:t xml:space="preserve">The elasticity of</w:t>
      </w:r>
      <w:r>
        <w:t xml:space="preserve"> </w:t>
      </w:r>
      <m:oMath>
        <m:r>
          <m:t>λ</m:t>
        </m:r>
      </m:oMath>
      <w:r>
        <w:t xml:space="preserve"> </w:t>
      </w:r>
      <w:r>
        <w:t xml:space="preserve">to each element of a sub-annual projection matrix is calculated with</w:t>
      </w:r>
    </w:p>
    <w:p>
      <w:pPr>
        <w:pStyle w:val="BodyText"/>
      </w:pPr>
      <m:oMathPara>
        <m:oMathParaPr>
          <m:jc m:val="center"/>
        </m:oMathParaPr>
        <m:oMath>
          <m:sSub>
            <m:e>
              <m:r>
                <m:t>E</m:t>
              </m:r>
            </m:e>
            <m:sub>
              <m:r>
                <m:t>B</m:t>
              </m:r>
              <m:d>
                <m:dPr>
                  <m:begChr m:val="("/>
                  <m:endChr m:val=")"/>
                  <m:sepChr m:val=""/>
                  <m:grow/>
                </m:dPr>
                <m:e>
                  <m:r>
                    <m:t>h</m:t>
                  </m:r>
                </m:e>
              </m:d>
            </m:sub>
          </m:sSub>
          <m:r>
            <m:rPr>
              <m:sty m:val="p"/>
            </m:rPr>
            <m:t>=</m:t>
          </m:r>
          <m:f>
            <m:fPr>
              <m:type m:val="bar"/>
            </m:fPr>
            <m:num>
              <m:sSub>
                <m:e>
                  <m:r>
                    <m:t>b</m:t>
                  </m:r>
                </m:e>
                <m:sub>
                  <m:r>
                    <m:t>i</m:t>
                  </m:r>
                  <m:r>
                    <m:t>j</m:t>
                  </m:r>
                  <m:r>
                    <m:t>k</m:t>
                  </m:r>
                </m:sub>
              </m:sSub>
            </m:num>
            <m:den>
              <m:r>
                <m:t>λ</m:t>
              </m:r>
            </m:den>
          </m:f>
          <m:sSub>
            <m:e>
              <m:r>
                <m:t>S</m:t>
              </m:r>
            </m:e>
            <m:sub>
              <m:r>
                <m:t>B</m:t>
              </m:r>
              <m:d>
                <m:dPr>
                  <m:begChr m:val="("/>
                  <m:endChr m:val=")"/>
                  <m:sepChr m:val=""/>
                  <m:grow/>
                </m:dPr>
                <m:e>
                  <m:r>
                    <m:t>h</m:t>
                  </m:r>
                </m:e>
              </m:d>
            </m:sub>
          </m:sSub>
          <m:r>
            <m:t> </m:t>
          </m:r>
          <m:r>
            <m:t> </m:t>
          </m:r>
          <m:r>
            <m:t> </m:t>
          </m:r>
          <m:d>
            <m:dPr>
              <m:begChr m:val="("/>
              <m:endChr m:val=")"/>
              <m:sepChr m:val=""/>
              <m:grow/>
            </m:dPr>
            <m:e>
              <m:r>
                <m:t>2</m:t>
              </m:r>
            </m:e>
          </m:d>
        </m:oMath>
      </m:oMathPara>
    </w:p>
    <w:p>
      <w:pPr>
        <w:pStyle w:val="FirstParagraph"/>
      </w:pPr>
      <w:r>
        <w:t xml:space="preserve">where,</w:t>
      </w:r>
    </w:p>
    <w:p>
      <w:pPr>
        <w:pStyle w:val="BodyText"/>
      </w:pPr>
      <m:oMath>
        <m:sSub>
          <m:e>
            <m:r>
              <m:t>b</m:t>
            </m:r>
          </m:e>
          <m:sub>
            <m:r>
              <m:t>i</m:t>
            </m:r>
            <m:r>
              <m:t>j</m:t>
            </m:r>
            <m:r>
              <m:t>k</m:t>
            </m:r>
          </m:sub>
        </m:sSub>
      </m:oMath>
      <w:r>
        <w:t xml:space="preserve"> </w:t>
      </w:r>
      <w:r>
        <w:t xml:space="preserve">is the entry at row i column j of matrix</w:t>
      </w:r>
      <w:r>
        <w:t xml:space="preserve"> </w:t>
      </w:r>
      <m:oMath>
        <m:sSub>
          <m:e>
            <m:r>
              <m:t>B</m:t>
            </m:r>
          </m:e>
          <m:sub>
            <m:r>
              <m:t>h</m:t>
            </m:r>
          </m:sub>
        </m:sSub>
      </m:oMath>
      <w:r>
        <w:t xml:space="preserve">, and other elements as defined in Equation (1).</w:t>
      </w:r>
    </w:p>
    <w:bookmarkEnd w:id="45"/>
    <w:bookmarkEnd w:id="46"/>
    <w:bookmarkStart w:id="65" w:name="results-and-discussion"/>
    <w:p>
      <w:pPr>
        <w:pStyle w:val="Heading1"/>
      </w:pPr>
      <w:r>
        <w:t xml:space="preserve">Results and discussion</w:t>
      </w:r>
    </w:p>
    <w:bookmarkStart w:id="49" w:name="X413fbd2b508dfcda083de6efac2e339c70114e8"/>
    <w:p>
      <w:pPr>
        <w:pStyle w:val="Heading2"/>
      </w:pPr>
      <w:r>
        <w:t xml:space="preserve">Waterhemp sub-annual demographic parameters from empirical measurement</w:t>
      </w:r>
    </w:p>
    <w:bookmarkStart w:id="47" w:name="seedling-emergence-timing"/>
    <w:p>
      <w:pPr>
        <w:pStyle w:val="Heading3"/>
      </w:pPr>
      <w:r>
        <w:t xml:space="preserve">Seedling emergence timing</w:t>
      </w:r>
    </w:p>
    <w:p>
      <w:pPr>
        <w:pStyle w:val="SourceCode"/>
      </w:pPr>
      <w:r>
        <w:rPr>
          <w:rStyle w:val="VerbatimChar"/>
        </w:rPr>
        <w:t xml:space="preserve">##  model term                   df1   df2 F.ratio p.value</w:t>
      </w:r>
      <w:r>
        <w:br/>
      </w:r>
      <w:r>
        <w:rPr>
          <w:rStyle w:val="VerbatimChar"/>
        </w:rPr>
        <w:t xml:space="preserve">##  Block                          3 56.93   0.477  0.6998</w:t>
      </w:r>
      <w:r>
        <w:br/>
      </w:r>
      <w:r>
        <w:rPr>
          <w:rStyle w:val="VerbatimChar"/>
        </w:rPr>
        <w:t xml:space="preserve">##  Crop_ID                        8 56.53 117.230  &lt;.0001</w:t>
      </w:r>
      <w:r>
        <w:br/>
      </w:r>
      <w:r>
        <w:rPr>
          <w:rStyle w:val="VerbatimChar"/>
        </w:rPr>
        <w:t xml:space="preserve">##  Corn_weed_management           1 56.53   0.602  0.4411</w:t>
      </w:r>
      <w:r>
        <w:br/>
      </w:r>
      <w:r>
        <w:rPr>
          <w:rStyle w:val="VerbatimChar"/>
        </w:rPr>
        <w:t xml:space="preserve">##  Cohort                         5 69.94  70.175  &lt;.0001</w:t>
      </w:r>
      <w:r>
        <w:br/>
      </w:r>
      <w:r>
        <w:rPr>
          <w:rStyle w:val="VerbatimChar"/>
        </w:rPr>
        <w:t xml:space="preserve">##  Crop_ID:Corn_weed_management   8 56.93   4.015  0.0008</w:t>
      </w:r>
      <w:r>
        <w:br/>
      </w:r>
      <w:r>
        <w:rPr>
          <w:rStyle w:val="VerbatimChar"/>
        </w:rPr>
        <w:t xml:space="preserve">##  Crop_ID:Cohort                40 69.94  15.739  &lt;.0001</w:t>
      </w:r>
      <w:r>
        <w:br/>
      </w:r>
      <w:r>
        <w:rPr>
          <w:rStyle w:val="VerbatimChar"/>
        </w:rPr>
        <w:t xml:space="preserve">##  Corn_weed_management:Cohort    5 69.94   1.206  0.3153</w:t>
      </w:r>
    </w:p>
    <w:p>
      <w:pPr>
        <w:pStyle w:val="SourceCode"/>
      </w:pPr>
      <w:r>
        <w:rPr>
          <w:rStyle w:val="VerbatimChar"/>
        </w:rPr>
        <w:t xml:space="preserve">##  contrast            estimate   SE         df   lower.CL   upper.CL  </w:t>
      </w:r>
      <w:r>
        <w:br/>
      </w:r>
      <w:r>
        <w:rPr>
          <w:rStyle w:val="VerbatimChar"/>
        </w:rPr>
        <w:t xml:space="preserve">##  "oat - soybean    " "   -7.67" "7.92e-15" "51" "   -7.67" "   -7.67"</w:t>
      </w:r>
      <w:r>
        <w:br/>
      </w:r>
      <w:r>
        <w:rPr>
          <w:rStyle w:val="VerbatimChar"/>
        </w:rPr>
        <w:t xml:space="preserve">##  "oat - corn       " "   15.00" "7.92e-15" "51" "   15.00" "   15.00"</w:t>
      </w:r>
      <w:r>
        <w:br/>
      </w:r>
      <w:r>
        <w:rPr>
          <w:rStyle w:val="VerbatimChar"/>
        </w:rPr>
        <w:t xml:space="preserve">##  "oat - alfalfa    " "  -16.00" "1.06e-14" "51" "  -16.00" "  -16.00"</w:t>
      </w:r>
      <w:r>
        <w:br/>
      </w:r>
      <w:r>
        <w:rPr>
          <w:rStyle w:val="VerbatimChar"/>
        </w:rPr>
        <w:t xml:space="preserve">##  "soybean - corn   " "   22.67" "7.09e-15" "51" "   22.67" "   22.67"</w:t>
      </w:r>
      <w:r>
        <w:br/>
      </w:r>
      <w:r>
        <w:rPr>
          <w:rStyle w:val="VerbatimChar"/>
        </w:rPr>
        <w:t xml:space="preserve">##  "soybean - alfalfa" "   -8.33" "1.00e-14" "51" "   -8.33" "   -8.33"</w:t>
      </w:r>
      <w:r>
        <w:br/>
      </w:r>
      <w:r>
        <w:rPr>
          <w:rStyle w:val="VerbatimChar"/>
        </w:rPr>
        <w:t xml:space="preserve">##  "corn - alfalfa   " "  -31.00" "1.00e-14" "51" "  -31.00" "  -31.00"</w:t>
      </w:r>
      <w:r>
        <w:br/>
      </w:r>
      <w:r>
        <w:rPr>
          <w:rStyle w:val="VerbatimChar"/>
        </w:rPr>
        <w:t xml:space="preserve">##  t.ratio                 p.value  </w:t>
      </w:r>
      <w:r>
        <w:br/>
      </w:r>
      <w:r>
        <w:rPr>
          <w:rStyle w:val="VerbatimChar"/>
        </w:rPr>
        <w:t xml:space="preserve">##  " -967496099760306.000" " &lt;.0001"</w:t>
      </w:r>
      <w:r>
        <w:br/>
      </w:r>
      <w:r>
        <w:rPr>
          <w:rStyle w:val="VerbatimChar"/>
        </w:rPr>
        <w:t xml:space="preserve">##  " 1892927151704952.000" " &lt;.0001"</w:t>
      </w:r>
      <w:r>
        <w:br/>
      </w:r>
      <w:r>
        <w:rPr>
          <w:rStyle w:val="VerbatimChar"/>
        </w:rPr>
        <w:t xml:space="preserve">##  "-1504964902281718.000" " &lt;.0001"</w:t>
      </w:r>
      <w:r>
        <w:br/>
      </w:r>
      <w:r>
        <w:rPr>
          <w:rStyle w:val="VerbatimChar"/>
        </w:rPr>
        <w:t xml:space="preserve">##  " 3198050417348650.000" " &lt;.0001"</w:t>
      </w:r>
      <w:r>
        <w:br/>
      </w:r>
      <w:r>
        <w:rPr>
          <w:rStyle w:val="VerbatimChar"/>
        </w:rPr>
        <w:t xml:space="preserve">##  " -831383506133717.000" " &lt;.0001"</w:t>
      </w:r>
      <w:r>
        <w:br/>
      </w:r>
      <w:r>
        <w:rPr>
          <w:rStyle w:val="VerbatimChar"/>
        </w:rPr>
        <w:t xml:space="preserve">##  "-3092746642817413.000" " &lt;.0001"</w:t>
      </w:r>
    </w:p>
    <w:p>
      <w:pPr>
        <w:pStyle w:val="FirstParagraph"/>
      </w:pPr>
      <w:r>
        <w:t xml:space="preserve">The first cohort of waterhemp that emerged in different cohorts were significantly different crop environments (Table</w:t>
      </w:r>
      <w:r>
        <w:t xml:space="preserve"> </w:t>
      </w:r>
      <w:r>
        <w:t xml:space="preserve">2</w:t>
      </w:r>
      <w:r>
        <w:t xml:space="preserve">). Waterhemp emergence was delayed in alfalfa crop environment as compared to corn and soybean environments. Waterhemp emergence was nine to sixteen days earlier in oat than that in alfalfa.</w:t>
      </w:r>
    </w:p>
    <w:p>
      <w:pPr>
        <w:pStyle w:val="TableCaption"/>
      </w:pPr>
      <w:r>
        <w:t xml:space="preserve">Table 2: 2019 and 2020 seedling emergence timing in four crop environments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3"/>
        <w:gridCol w:w="1025"/>
        <w:gridCol w:w="963"/>
        <w:gridCol w:w="566"/>
        <w:gridCol w:w="882"/>
        <w:gridCol w:w="1025"/>
        <w:gridCol w:w="839"/>
        <w:gridCol w:w="566"/>
        <w:gridCol w:w="882"/>
      </w:tblGrid>
      <w:tr>
        <w:trPr>
          <w:cantSplit/>
          <w:trHeight w:val="512" w:hRule="auto"/>
          <w:tblHeader/>
        </w:trPr>
        <w:tc>
          <w:tcPr>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4"/>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2019</w:t>
            </w:r>
          </w:p>
        </w:tc>
        <w:tc>
          <w:tcPr>
            <w:gridSpan w:val="4"/>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2020</w:t>
            </w:r>
          </w:p>
        </w:tc>
      </w:tr>
      <w:tr>
        <w:trPr>
          <w:cantSplit/>
          <w:trHeight w:val="517" w:hRule="auto"/>
          <w:tblHeader/>
        </w:trPr>
        <w:tc>
          <w:tcPr>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Contrast</w:t>
            </w:r>
          </w:p>
        </w:tc>
        <w:tc>
          <w:tcPr>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difference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df</w:t>
            </w:r>
          </w:p>
        </w:tc>
        <w:tc>
          <w:tcPr>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w:t>
            </w:r>
          </w:p>
        </w:tc>
        <w:tc>
          <w:tcPr>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difference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w:t>
            </w:r>
          </w:p>
        </w:tc>
      </w:tr>
      <w:tr>
        <w:trPr>
          <w:cantSplit/>
          <w:trHeight w:val="541"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oat - soybean    </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7.92e-15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4.83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0.0841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12"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oat - corn       </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7.92e-15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0.0841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15"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oat - alfalfa    </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1.06e-14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0.1129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41"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soybean - corn   </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22.67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7.09e-15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0.0752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43"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soybean - alfalfa</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1.00e-14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-15.83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0.1064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15" w:hRule="auto"/>
        </w:trPr>
        <w:tc>
          <w:tcPr>
            <w:tcBorders>
              <w:bottom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corn - alfalfa   </w:t>
            </w:r>
          </w:p>
        </w:tc>
        <w:tc>
          <w:tcPr>
            <w:tcBorders>
              <w:bottom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-31.00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1.00e-14</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bottom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bottom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-15.25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0.1064</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bl>
    <w:bookmarkEnd w:id="47"/>
    <w:bookmarkStart w:id="48" w:name="soil-seedbank-and-emergence-proportion"/>
    <w:p>
      <w:pPr>
        <w:pStyle w:val="Heading3"/>
      </w:pPr>
      <w:r>
        <w:t xml:space="preserve">2019 soil seedbank and emergence proportion</w:t>
      </w:r>
    </w:p>
    <w:p>
      <w:pPr>
        <w:pStyle w:val="FirstParagraph"/>
      </w:pPr>
      <w:r>
        <w:t xml:space="preserve">In 2019, the waterhemp soil seedbanks in the cool-season crop environments (O3, O4, and A4) were substantially higher than those of the warm-season crops. The waterhemp soil seedbanks in the soybean environments were the lowest among all the crop environments (Table</w:t>
      </w:r>
      <w:r>
        <w:t xml:space="preserve"> </w:t>
      </w:r>
      <w:r>
        <w:t xml:space="preserve">3</w:t>
      </w:r>
      <w:r>
        <w:t xml:space="preserve">).</w:t>
      </w:r>
    </w:p>
    <w:p>
      <w:pPr>
        <w:pStyle w:val="TableCaption"/>
      </w:pPr>
      <w:r>
        <w:t xml:space="preserve">Table 3: 2019 seedbank densities at the top and bottom soil strata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32"/>
        <w:gridCol w:w="893"/>
        <w:gridCol w:w="1944"/>
        <w:gridCol w:w="566"/>
        <w:gridCol w:w="1562"/>
        <w:gridCol w:w="956"/>
        <w:gridCol w:w="1842"/>
        <w:gridCol w:w="956"/>
      </w:tblGrid>
      <w:tr>
        <w:trPr>
          <w:cantSplit/>
          <w:trHeight w:val="54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Top stratum desity</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Bottom stratum density</w:t>
            </w:r>
          </w:p>
        </w:tc>
      </w:tr>
      <w:tr>
        <w:trPr>
          <w:cantSplit/>
          <w:trHeight w:val="54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Rotation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Crop 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Corn weed 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SE</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8,231.86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5,655.50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5,422.06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1,679.28</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4,811.59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3,305.97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3,938.95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1,220.03</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604.65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1,297.91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402.22</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1,451.23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997.60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1,612.56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499.65</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1,851.61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1,272.63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6,361.60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1,970.22</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1,780.96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1,224.10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8,922.47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2,763.21</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73.77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1,615.47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500.55</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303.58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209.23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1,831.55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567.46</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6,682.30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4,591.04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5,921.90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1,834.06</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8,513.14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5,848.72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5,292.15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1,639.06</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89.98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62.50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1,052.11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326.10</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77.88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1,300.81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403.11</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231.80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159.92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2,554.02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791.18</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375.59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258.70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3,717.29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1,151.39</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10,201.07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7,008.23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5,209.54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1,613.48</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13,770.16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9,459.99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4,590.44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1,421.77</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5,777.88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3,969.76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2,790.16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864.30</w:t>
            </w:r>
          </w:p>
        </w:tc>
      </w:tr>
      <w:tr>
        <w:trPr>
          <w:cantSplit/>
          <w:trHeight w:val="539"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8,022.25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5,511.51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3,415.89</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1,058.06</w:t>
            </w:r>
          </w:p>
        </w:tc>
      </w:tr>
    </w:tbl>
    <w:bookmarkEnd w:id="48"/>
    <w:bookmarkEnd w:id="49"/>
    <w:bookmarkStart w:id="52" w:name="waterhemp-population-growth-rates"/>
    <w:p>
      <w:pPr>
        <w:pStyle w:val="Heading2"/>
      </w:pPr>
      <w:r>
        <w:t xml:space="preserve">Waterhemp population growth rates</w:t>
      </w:r>
    </w:p>
    <w:bookmarkStart w:id="50" w:name="scenario-1"/>
    <w:p>
      <w:pPr>
        <w:pStyle w:val="Heading3"/>
      </w:pPr>
      <w:r>
        <w:t xml:space="preserve">Scenario 1</w:t>
      </w:r>
    </w:p>
    <w:p>
      <w:pPr>
        <w:pStyle w:val="FirstParagraph"/>
      </w:pPr>
      <w:r>
        <w:t xml:space="preserve">Using 2019 fecundity rates, that were estimated from individual plant size using eighteen equations from</w:t>
      </w:r>
      <w:r>
        <w:t xml:space="preserve"> </w:t>
      </w:r>
      <w:r>
        <w:t xml:space="preserve">Nguyen and Liebman (2022a)</w:t>
      </w:r>
      <w:r>
        <w:t xml:space="preserve">, waterhemp population densities were decreasing in all rotations, the fastest in the 2-year rotation under low herbicide corn weed management and the 3-year rotation under both corn weed management programs (Figures</w:t>
      </w:r>
      <w:r>
        <w:t xml:space="preserve"> </w:t>
      </w:r>
      <w:r>
        <w:t xml:space="preserve">2</w:t>
      </w:r>
      <w:r>
        <w:t xml:space="preserve">).</w:t>
      </w:r>
      <w:r>
        <w:t xml:space="preserve"> </w:t>
      </w:r>
      <m:oMath>
        <m:r>
          <m:t>λ</m:t>
        </m:r>
      </m:oMath>
      <w:r>
        <w:t xml:space="preserve">’s decreased right after the first phase of the 2-year (C2) and 3-year (C3) rotations, but increased in the first phase of the 4-year rotation (C4) by three (</w:t>
      </w:r>
      <m:oMath>
        <m:r>
          <m:t>λ</m:t>
        </m:r>
        <m:d>
          <m:dPr>
            <m:begChr m:val="("/>
            <m:endChr m:val=")"/>
            <m:sepChr m:val=""/>
            <m:grow/>
          </m:dPr>
          <m:e>
            <m:r>
              <m:t>C</m:t>
            </m:r>
            <m:r>
              <m:t>4</m:t>
            </m:r>
            <m:r>
              <m:rPr>
                <m:sty m:val="p"/>
              </m:rPr>
              <m:t>,</m:t>
            </m:r>
            <m:r>
              <m:t>l</m:t>
            </m:r>
            <m:r>
              <m:t>o</m:t>
            </m:r>
            <m:r>
              <m:t>w</m:t>
            </m:r>
          </m:e>
        </m:d>
      </m:oMath>
      <w:r>
        <w:t xml:space="preserve"> </w:t>
      </w:r>
      <w:r>
        <w:t xml:space="preserve">= 3.24) to fourteen (</w:t>
      </w:r>
      <m:oMath>
        <m:r>
          <m:t>λ</m:t>
        </m:r>
        <m:d>
          <m:dPr>
            <m:begChr m:val="("/>
            <m:endChr m:val=")"/>
            <m:sepChr m:val=""/>
            <m:grow/>
          </m:dPr>
          <m:e>
            <m:r>
              <m:t>C</m:t>
            </m:r>
            <m:r>
              <m:t>4</m:t>
            </m:r>
            <m:r>
              <m:rPr>
                <m:sty m:val="p"/>
              </m:rPr>
              <m:t>,</m:t>
            </m:r>
            <m:r>
              <m:t>l</m:t>
            </m:r>
            <m:r>
              <m:t>o</m:t>
            </m:r>
            <m:r>
              <m:t>w</m:t>
            </m:r>
          </m:e>
        </m:d>
      </m:oMath>
      <w:r>
        <w:t xml:space="preserve"> </w:t>
      </w:r>
      <w:r>
        <w:t xml:space="preserve">= 14.34) folds. The steady decrease of population density in the soybean, oat, and alfalfa phases (</w:t>
      </w:r>
      <m:oMath>
        <m:r>
          <m:t>λ</m:t>
        </m:r>
      </m:oMath>
      <w:r>
        <w:t xml:space="preserve">’s = 0.5) were sufficient to keep the rotation-wise populations decreasing within a four year cycle even if</w:t>
      </w:r>
      <w:r>
        <w:t xml:space="preserve"> </w:t>
      </w:r>
      <m:oMath>
        <m:r>
          <m:t>λ</m:t>
        </m:r>
      </m:oMath>
      <w:r>
        <w:t xml:space="preserve"> </w:t>
      </w:r>
      <w:r>
        <w:t xml:space="preserve">may increase again when the cropping system circles back to corn. The majority of the seedbank in the 4-year rotation is at the 2-20 cm stratum, which limits the seed pool density available for emergence.</w:t>
      </w:r>
    </w:p>
    <w:bookmarkEnd w:id="50"/>
    <w:bookmarkStart w:id="51" w:name="scenario-2"/>
    <w:p>
      <w:pPr>
        <w:pStyle w:val="Heading3"/>
      </w:pPr>
      <w:r>
        <w:t xml:space="preserve">Scenario 2</w:t>
      </w:r>
    </w:p>
    <w:p>
      <w:pPr>
        <w:pStyle w:val="FirstParagraph"/>
      </w:pPr>
      <w:r>
        <w:t xml:space="preserve">Using 2018 fecundity rates, waterhemp population densities were increasing rapidly in all rotations, the fastest in the 2-year rotation (Figures</w:t>
      </w:r>
      <w:r>
        <w:t xml:space="preserve"> </w:t>
      </w:r>
      <w:r>
        <w:t xml:space="preserve">3</w:t>
      </w:r>
      <w:r>
        <w:t xml:space="preserve">). The population increase in the 3-year rotation under low herbicide corn weed management was similar to that of the 4-year rotation. Even though</w:t>
      </w:r>
      <w:r>
        <w:t xml:space="preserve"> </w:t>
      </w:r>
      <m:oMath>
        <m:r>
          <m:t>λ</m:t>
        </m:r>
        <m:d>
          <m:dPr>
            <m:begChr m:val="("/>
            <m:endChr m:val=")"/>
            <m:sepChr m:val=""/>
            <m:grow/>
          </m:dPr>
          <m:e>
            <m:r>
              <m:t>r</m:t>
            </m:r>
          </m:e>
        </m:d>
      </m:oMath>
      <w:r>
        <w:t xml:space="preserve"> </w:t>
      </w:r>
      <w:r>
        <w:t xml:space="preserve">were all increasing, the partition of seedbanks differed between rotations. Within the same rotation, the partition of seedbank densities in the two strata of the soil was consistent between two corn weed management regimes. In the 2-year rotation, a large portion of the seedbanks were at the 0-2 cm soil stratum; in the 3-year rotation, the top and bottom soil strata were fairly evenly populated; and in the 4-year rotation, the majority of the seedbanks were at the bottom stratum.</w:t>
      </w:r>
    </w:p>
    <w:p>
      <w:pPr>
        <w:pStyle w:val="BodyText"/>
      </w:pPr>
      <w:r>
        <w:t xml:space="preserve">The oat phase of the 3-year rotation (O3) alfalfa phase of the 4-year rotation (A4) offered an opportunity for decreasing</w:t>
      </w:r>
      <w:r>
        <w:t xml:space="preserve"> </w:t>
      </w:r>
      <m:oMath>
        <m:r>
          <m:t>λ</m:t>
        </m:r>
      </m:oMath>
      <w:r>
        <w:t xml:space="preserve">, which was not possible in any other crop phases in the three examined rotations. However, the decline in</w:t>
      </w:r>
      <w:r>
        <w:t xml:space="preserve"> </w:t>
      </w:r>
      <m:oMath>
        <m:r>
          <m:t>λ</m:t>
        </m:r>
        <m:d>
          <m:dPr>
            <m:begChr m:val="("/>
            <m:endChr m:val=")"/>
            <m:sepChr m:val=""/>
            <m:grow/>
          </m:dPr>
          <m:e>
            <m:r>
              <m:t>r</m:t>
            </m:r>
          </m:e>
        </m:d>
      </m:oMath>
      <w:r>
        <w:t xml:space="preserve">’s in O3 (</w:t>
      </w:r>
      <m:oMath>
        <m:r>
          <m:t>λ</m:t>
        </m:r>
        <m:d>
          <m:dPr>
            <m:begChr m:val="("/>
            <m:endChr m:val=")"/>
            <m:sepChr m:val=""/>
            <m:grow/>
          </m:dPr>
          <m:e>
            <m:r>
              <m:t>O</m:t>
            </m:r>
            <m:r>
              <m:t>3</m:t>
            </m:r>
            <m:r>
              <m:rPr>
                <m:sty m:val="p"/>
              </m:rPr>
              <m:t>,</m:t>
            </m:r>
            <m:r>
              <m:t>l</m:t>
            </m:r>
            <m:r>
              <m:t>o</m:t>
            </m:r>
            <m:r>
              <m:t>w</m:t>
            </m:r>
          </m:e>
        </m:d>
      </m:oMath>
      <w:r>
        <w:t xml:space="preserve"> </w:t>
      </w:r>
      <w:r>
        <w:t xml:space="preserve">= 0.68) and A4 (</w:t>
      </w:r>
      <m:oMath>
        <m:r>
          <m:t>λ</m:t>
        </m:r>
        <m:d>
          <m:dPr>
            <m:begChr m:val="("/>
            <m:endChr m:val=")"/>
            <m:sepChr m:val=""/>
            <m:grow/>
          </m:dPr>
          <m:e>
            <m:r>
              <m:t>A</m:t>
            </m:r>
            <m:r>
              <m:t>4</m:t>
            </m:r>
            <m:r>
              <m:rPr>
                <m:sty m:val="p"/>
              </m:rPr>
              <m:t>,</m:t>
            </m:r>
            <m:r>
              <m:t>l</m:t>
            </m:r>
            <m:r>
              <m:t>o</m:t>
            </m:r>
            <m:r>
              <m:t>w</m:t>
            </m:r>
          </m:e>
        </m:d>
      </m:oMath>
      <w:r>
        <w:t xml:space="preserve"> </w:t>
      </w:r>
      <w:r>
        <w:t xml:space="preserve">= 0.60) were not strong enough to deplete the replenishment from the corn (</w:t>
      </w:r>
      <m:oMath>
        <m:r>
          <m:t>λ</m:t>
        </m:r>
        <m:d>
          <m:dPr>
            <m:begChr m:val="("/>
            <m:endChr m:val=")"/>
            <m:sepChr m:val=""/>
            <m:grow/>
          </m:dPr>
          <m:e>
            <m:r>
              <m:t>C</m:t>
            </m:r>
            <m:r>
              <m:t>3</m:t>
            </m:r>
            <m:r>
              <m:rPr>
                <m:sty m:val="p"/>
              </m:rPr>
              <m:t>,</m:t>
            </m:r>
            <m:r>
              <m:t>l</m:t>
            </m:r>
            <m:r>
              <m:t>o</m:t>
            </m:r>
            <m:r>
              <m:t>w</m:t>
            </m:r>
          </m:e>
        </m:d>
      </m:oMath>
      <w:r>
        <w:t xml:space="preserve"> </w:t>
      </w:r>
      <w:r>
        <w:t xml:space="preserve">= 2553 and</w:t>
      </w:r>
      <w:r>
        <w:t xml:space="preserve"> </w:t>
      </w:r>
      <m:oMath>
        <m:r>
          <m:t>λ</m:t>
        </m:r>
        <m:d>
          <m:dPr>
            <m:begChr m:val="("/>
            <m:endChr m:val=")"/>
            <m:sepChr m:val=""/>
            <m:grow/>
          </m:dPr>
          <m:e>
            <m:r>
              <m:t>C</m:t>
            </m:r>
            <m:r>
              <m:t>4</m:t>
            </m:r>
            <m:r>
              <m:rPr>
                <m:sty m:val="p"/>
              </m:rPr>
              <m:t>,</m:t>
            </m:r>
            <m:r>
              <m:t>l</m:t>
            </m:r>
            <m:r>
              <m:t>o</m:t>
            </m:r>
            <m:r>
              <m:t>w</m:t>
            </m:r>
          </m:e>
        </m:d>
      </m:oMath>
      <w:r>
        <w:t xml:space="preserve"> </w:t>
      </w:r>
      <w:r>
        <w:t xml:space="preserve">= 35676.54) and soybean (</w:t>
      </w:r>
      <m:oMath>
        <m:r>
          <m:t>λ</m:t>
        </m:r>
        <m:d>
          <m:dPr>
            <m:begChr m:val="("/>
            <m:endChr m:val=")"/>
            <m:sepChr m:val=""/>
            <m:grow/>
          </m:dPr>
          <m:e>
            <m:r>
              <m:t>S</m:t>
            </m:r>
            <m:r>
              <m:t>3</m:t>
            </m:r>
            <m:r>
              <m:rPr>
                <m:sty m:val="p"/>
              </m:rPr>
              <m:t>,</m:t>
            </m:r>
            <m:r>
              <m:t>l</m:t>
            </m:r>
            <m:r>
              <m:t>o</m:t>
            </m:r>
            <m:r>
              <m:t>w</m:t>
            </m:r>
          </m:e>
        </m:d>
      </m:oMath>
      <w:r>
        <w:t xml:space="preserve"> </w:t>
      </w:r>
      <w:r>
        <w:t xml:space="preserve">= 14567.90 and</w:t>
      </w:r>
      <w:r>
        <w:t xml:space="preserve"> </w:t>
      </w:r>
      <m:oMath>
        <m:r>
          <m:t>λ</m:t>
        </m:r>
        <m:d>
          <m:dPr>
            <m:begChr m:val="("/>
            <m:endChr m:val=")"/>
            <m:sepChr m:val=""/>
            <m:grow/>
          </m:dPr>
          <m:e>
            <m:r>
              <m:t>S</m:t>
            </m:r>
            <m:r>
              <m:t>4</m:t>
            </m:r>
            <m:r>
              <m:rPr>
                <m:sty m:val="p"/>
              </m:rPr>
              <m:t>,</m:t>
            </m:r>
            <m:r>
              <m:t>l</m:t>
            </m:r>
            <m:r>
              <m:t>o</m:t>
            </m:r>
            <m:r>
              <m:t>w</m:t>
            </m:r>
          </m:e>
        </m:d>
      </m:oMath>
      <w:r>
        <w:t xml:space="preserve"> </w:t>
      </w:r>
      <w:r>
        <w:t xml:space="preserve">= 30.20) phases.</w:t>
      </w:r>
    </w:p>
    <w:bookmarkEnd w:id="51"/>
    <w:bookmarkEnd w:id="52"/>
    <w:bookmarkStart w:id="57" w:name="Xf5df142dff9b7c2f56340cdf78ee2c0bbaf8ab2"/>
    <w:p>
      <w:pPr>
        <w:pStyle w:val="Heading2"/>
      </w:pPr>
      <w:r>
        <w:t xml:space="preserve">Elasticities of popilation growth rates to lower-level demographic parameters</w:t>
      </w:r>
    </w:p>
    <w:p>
      <w:pPr>
        <w:pStyle w:val="FirstParagraph"/>
      </w:pPr>
      <w:r>
        <w:t xml:space="preserve">All the elasticity of</w:t>
      </w:r>
      <w:r>
        <w:t xml:space="preserve"> </w:t>
      </w:r>
      <m:oMath>
        <m:r>
          <m:t>λ</m:t>
        </m:r>
      </m:oMath>
      <w:r>
        <w:t xml:space="preserve"> </w:t>
      </w:r>
      <w:r>
        <w:t xml:space="preserve">to the lower-level demographic parameters mentioned in the brackets below are bold in Tables</w:t>
      </w:r>
      <w:r>
        <w:t xml:space="preserve"> </w:t>
      </w:r>
      <w:r>
        <w:t xml:space="preserve">4</w:t>
      </w:r>
      <w:r>
        <w:t xml:space="preserve"> </w:t>
      </w:r>
      <w:r>
        <w:t xml:space="preserve">and</w:t>
      </w:r>
      <w:r>
        <w:t xml:space="preserve"> </w:t>
      </w:r>
      <w:r>
        <w:t xml:space="preserve">5</w:t>
      </w:r>
      <w:r>
        <w:t xml:space="preserve">. The tables exclude all-zero columns. Zeros in the tables were from rounding or absolute values being zeros. For examples, the elasticity of</w:t>
      </w:r>
      <w:r>
        <w:t xml:space="preserve"> </w:t>
      </w:r>
      <m:oMath>
        <m:r>
          <m:t>λ</m:t>
        </m:r>
      </m:oMath>
      <w:r>
        <w:t xml:space="preserve">’s to seed emergence were negligibly small (at</w:t>
      </w:r>
      <w:r>
        <w:t xml:space="preserve"> </w:t>
      </w:r>
      <m:oMath>
        <m:sSup>
          <m:e>
            <m:r>
              <m:t>10</m:t>
            </m:r>
          </m:e>
          <m:sup>
            <m:r>
              <m:rPr>
                <m:sty m:val="p"/>
              </m:rPr>
              <m:t>−</m:t>
            </m:r>
            <m:r>
              <m:t>9</m:t>
            </m:r>
          </m:sup>
        </m:sSup>
      </m:oMath>
      <w:r>
        <w:t xml:space="preserve"> </w:t>
      </w:r>
      <w:r>
        <w:t xml:space="preserve">to</w:t>
      </w:r>
      <w:r>
        <w:t xml:space="preserve"> </w:t>
      </w:r>
      <m:oMath>
        <m:sSup>
          <m:e>
            <m:r>
              <m:t>10</m:t>
            </m:r>
          </m:e>
          <m:sup>
            <m:r>
              <m:rPr>
                <m:sty m:val="p"/>
              </m:rPr>
              <m:t>−</m:t>
            </m:r>
            <m:r>
              <m:t>14</m:t>
            </m:r>
          </m:sup>
        </m:sSup>
      </m:oMath>
      <w:r>
        <w:t xml:space="preserve"> </w:t>
      </w:r>
      <w:r>
        <w:t xml:space="preserve">range), and thus, were excluded from the tables. This pattern suggests that even if weed control programs are of high, or even total efficacy, the very few survived plants, if successfully and prolifically produce new seeds, can help sustain the population.</w:t>
      </w:r>
    </w:p>
    <w:bookmarkStart w:id="53" w:name="scenario-1-1"/>
    <w:p>
      <w:pPr>
        <w:pStyle w:val="Heading3"/>
      </w:pPr>
      <w:r>
        <w:t xml:space="preserve">Scenario 1</w:t>
      </w:r>
    </w:p>
    <w:p>
      <w:pPr>
        <w:pStyle w:val="FirstParagraph"/>
      </w:pPr>
      <w:r>
        <w:t xml:space="preserve">The ranking of parameters or individual parameters to the elasticity of</w:t>
      </w:r>
      <w:r>
        <w:t xml:space="preserve"> </w:t>
      </w:r>
      <m:oMath>
        <m:sSub>
          <m:e>
            <m:r>
              <m:t>λ</m:t>
            </m:r>
          </m:e>
          <m:sub>
            <m:r>
              <m:t>r</m:t>
            </m:r>
          </m:sub>
        </m:sSub>
      </m:oMath>
      <w:r>
        <w:t xml:space="preserve"> </w:t>
      </w:r>
      <w:r>
        <w:t xml:space="preserve">differed by rotation and crop phase. The seed preserving parameters were ranked higher in the corn phase of the 3-year rotation (C3) under both weed management regimes, the soybean phase of the 3-year rotation (S3) that followed corn under low herbicide weed management, the oat phases of the 3-year and 4-year rotations (O3 and O4) regardless of the preceding corn phase’s weed management regime, and the alfalfa phase of the 4-year rotation (A4) regardless of the preceding corn phase’s weed management regime. The seed producing parameters were ranked higher in the other crop environments (crop species in each rotation).</w:t>
      </w:r>
    </w:p>
    <w:p>
      <w:pPr>
        <w:pStyle w:val="BodyText"/>
      </w:pPr>
      <w:r>
        <w:t xml:space="preserve">The elasticity of</w:t>
      </w:r>
      <w:r>
        <w:t xml:space="preserve"> </w:t>
      </w:r>
      <m:oMath>
        <m:r>
          <m:t>λ</m:t>
        </m:r>
        <m:d>
          <m:dPr>
            <m:begChr m:val="("/>
            <m:endChr m:val=")"/>
            <m:sepChr m:val=""/>
            <m:grow/>
          </m:dPr>
          <m:e>
            <m:r>
              <m:t>r</m:t>
            </m:r>
          </m:e>
        </m:d>
      </m:oMath>
      <w:r>
        <w:t xml:space="preserve"> </w:t>
      </w:r>
      <w:r>
        <w:t xml:space="preserve">to fecundity rate, as a group, were ranked first in the corn phase of the 2-year rotation (C2) (43.13 and 3.15), the soybean phase of the 2-year rotation (S2) (0.75 and 4.18), the soybean phase of the 3-year rotation (S3) that followed corn under low herbicide weed management program (0.91), the corn phase of the 4-year rotation (C4) (305.24 and 323.07), and the alfalfa in the 4-year rotation (A4) (36.78 and 14.49) under both weed management regimes.</w:t>
      </w:r>
      <w:r>
        <w:t xml:space="preserve"> </w:t>
      </w:r>
      <w:r>
        <w:t xml:space="preserve">The rate of pre-planting tillage induced seed movement to the 2-20 cm soil stratum was the first-ranked individual parameter to the elasticity of</w:t>
      </w:r>
      <w:r>
        <w:t xml:space="preserve"> </w:t>
      </w:r>
      <m:oMath>
        <m:r>
          <m:t>λ</m:t>
        </m:r>
        <m:d>
          <m:dPr>
            <m:begChr m:val="("/>
            <m:endChr m:val=")"/>
            <m:sepChr m:val=""/>
            <m:grow/>
          </m:dPr>
          <m:e>
            <m:r>
              <m:t>r</m:t>
            </m:r>
          </m:e>
        </m:d>
      </m:oMath>
      <w:r>
        <w:t xml:space="preserve">’s in the corn phase of the 3-year rotation (C3) (1.1 and 1.1), the soybean in the 3-year rotation that followed corn under low herbicide weed management (0.89), the oat phase of the 3-year rotation (O3) (0.87 and 0.88), and the oat phase of the 4-year rotation (5.49 and 3.98). The overwinter survival rate of the seeds at the 0-2 cm soil stratum was the first-ranked individual parameter to the elasticity of</w:t>
      </w:r>
      <w:r>
        <w:t xml:space="preserve"> </w:t>
      </w:r>
      <m:oMath>
        <m:r>
          <m:t>λ</m:t>
        </m:r>
        <m:d>
          <m:dPr>
            <m:begChr m:val="("/>
            <m:endChr m:val=")"/>
            <m:sepChr m:val=""/>
            <m:grow/>
          </m:dPr>
          <m:e>
            <m:r>
              <m:t>r</m:t>
            </m:r>
          </m:e>
        </m:d>
      </m:oMath>
      <w:r>
        <w:t xml:space="preserve">’s in the soybean phase of the 4-year rotation (S4) (3.32 and 2.41).</w:t>
      </w:r>
    </w:p>
    <w:p>
      <w:pPr>
        <w:pStyle w:val="BodyText"/>
      </w:pPr>
      <w:r>
        <w:t xml:space="preserve">As</w:t>
      </w:r>
      <w:r>
        <w:t xml:space="preserve"> </w:t>
      </w:r>
      <m:oMath>
        <m:r>
          <m:t>λ</m:t>
        </m:r>
        <m:d>
          <m:dPr>
            <m:begChr m:val="("/>
            <m:endChr m:val=")"/>
            <m:sepChr m:val=""/>
            <m:grow/>
          </m:dPr>
          <m:e>
            <m:r>
              <m:t>r</m:t>
            </m:r>
          </m:e>
        </m:d>
      </m:oMath>
      <w:r>
        <w:t xml:space="preserve">s were all declining in this scenario, with some opportunity of increasing in the C4 phase, focusing on reducing plant fecundity in C4 would sufficiently stabilize</w:t>
      </w:r>
      <w:r>
        <w:t xml:space="preserve"> </w:t>
      </w:r>
      <m:oMath>
        <m:r>
          <m:t>λ</m:t>
        </m:r>
        <m:d>
          <m:dPr>
            <m:begChr m:val="("/>
            <m:endChr m:val=")"/>
            <m:sepChr m:val=""/>
            <m:grow/>
          </m:dPr>
          <m:e>
            <m:r>
              <m:t>4</m:t>
            </m:r>
          </m:e>
        </m:d>
      </m:oMath>
      <w:r>
        <w:t xml:space="preserve">, provided that the weed control efficacy in the subsequent three crop phases remain adequate.</w:t>
      </w:r>
    </w:p>
    <w:bookmarkEnd w:id="53"/>
    <w:bookmarkStart w:id="56" w:name="scenario-2-1"/>
    <w:p>
      <w:pPr>
        <w:pStyle w:val="Heading3"/>
      </w:pPr>
      <w:r>
        <w:t xml:space="preserve">Scenario 2</w:t>
      </w:r>
    </w:p>
    <w:p>
      <w:pPr>
        <w:pStyle w:val="FirstParagraph"/>
      </w:pPr>
      <w:r>
        <w:t xml:space="preserve">Unlike scenario one’s dynamics, the difference in the absolute value of the elasticity of</w:t>
      </w:r>
      <w:r>
        <w:t xml:space="preserve"> </w:t>
      </w:r>
      <m:oMath>
        <m:r>
          <m:t>λ</m:t>
        </m:r>
        <m:d>
          <m:dPr>
            <m:begChr m:val="("/>
            <m:endChr m:val=")"/>
            <m:sepChr m:val=""/>
            <m:grow/>
          </m:dPr>
          <m:e>
            <m:r>
              <m:t>r</m:t>
            </m:r>
          </m:e>
        </m:d>
      </m:oMath>
      <w:r>
        <w:t xml:space="preserve"> </w:t>
      </w:r>
      <w:r>
        <w:t xml:space="preserve">to the first-ranked and second-ranked groups of parameters were multiple orders of magnitude. The seed producing parameters were ranked higher in all crop environments (crop species in each rotation).</w:t>
      </w:r>
    </w:p>
    <w:p>
      <w:pPr>
        <w:pStyle w:val="BodyText"/>
      </w:pPr>
      <w:r>
        <w:t xml:space="preserve">The elasticity of</w:t>
      </w:r>
      <w:r>
        <w:t xml:space="preserve"> </w:t>
      </w:r>
      <m:oMath>
        <m:r>
          <m:t>λ</m:t>
        </m:r>
        <m:d>
          <m:dPr>
            <m:begChr m:val="("/>
            <m:endChr m:val=")"/>
            <m:sepChr m:val=""/>
            <m:grow/>
          </m:dPr>
          <m:e>
            <m:r>
              <m:t>r</m:t>
            </m:r>
          </m:e>
        </m:d>
      </m:oMath>
      <w:r>
        <w:t xml:space="preserve">’s to fecundity rates, as a group, were ranked first in all crop phases; but the specific influence of each cohort’s fecundity differed by crop phase. The elasticity of</w:t>
      </w:r>
      <w:r>
        <w:t xml:space="preserve"> </w:t>
      </w:r>
      <m:oMath>
        <m:r>
          <m:t>λ</m:t>
        </m:r>
      </m:oMath>
      <w:r>
        <w:t xml:space="preserve">’s to cohort one fecundity were the highest in C2 (4.1 x</w:t>
      </w:r>
      <w:r>
        <w:t xml:space="preserve"> </w:t>
      </w:r>
      <m:oMath>
        <m:sSup>
          <m:e>
            <m:r>
              <m:t>10</m:t>
            </m:r>
          </m:e>
          <m:sup>
            <m:r>
              <m:t>9</m:t>
            </m:r>
          </m:sup>
        </m:sSup>
      </m:oMath>
      <w:r>
        <w:t xml:space="preserve"> </w:t>
      </w:r>
      <w:r>
        <w:t xml:space="preserve">and 2.8 x</w:t>
      </w:r>
      <w:r>
        <w:t xml:space="preserve"> </w:t>
      </w:r>
      <m:oMath>
        <m:sSup>
          <m:e>
            <m:r>
              <m:t>10</m:t>
            </m:r>
          </m:e>
          <m:sup>
            <m:r>
              <m:t>9</m:t>
            </m:r>
          </m:sup>
        </m:sSup>
      </m:oMath>
      <w:r>
        <w:t xml:space="preserve">), S3 (4.4 x</w:t>
      </w:r>
      <w:r>
        <w:t xml:space="preserve"> </w:t>
      </w:r>
      <m:oMath>
        <m:sSup>
          <m:e>
            <m:r>
              <m:t>10</m:t>
            </m:r>
          </m:e>
          <m:sup>
            <m:r>
              <m:t>9</m:t>
            </m:r>
          </m:sup>
        </m:sSup>
      </m:oMath>
      <w:r>
        <w:t xml:space="preserve"> </w:t>
      </w:r>
      <w:r>
        <w:t xml:space="preserve">and 9.7 x</w:t>
      </w:r>
      <w:r>
        <w:t xml:space="preserve"> </w:t>
      </w:r>
      <m:oMath>
        <m:sSup>
          <m:e>
            <m:r>
              <m:t>10</m:t>
            </m:r>
          </m:e>
          <m:sup>
            <m:r>
              <m:t>10</m:t>
            </m:r>
          </m:sup>
        </m:sSup>
      </m:oMath>
      <w:r>
        <w:t xml:space="preserve">), and O4 (8.3 x</w:t>
      </w:r>
      <w:r>
        <w:t xml:space="preserve"> </w:t>
      </w:r>
      <m:oMath>
        <m:sSup>
          <m:e>
            <m:r>
              <m:t>10</m:t>
            </m:r>
          </m:e>
          <m:sup>
            <m:r>
              <m:t>6</m:t>
            </m:r>
          </m:sup>
        </m:sSup>
      </m:oMath>
      <w:r>
        <w:t xml:space="preserve"> </w:t>
      </w:r>
      <w:r>
        <w:t xml:space="preserve">and 6.5 x</w:t>
      </w:r>
      <w:r>
        <w:t xml:space="preserve"> </w:t>
      </w:r>
      <m:oMath>
        <m:sSup>
          <m:e>
            <m:r>
              <m:t>10</m:t>
            </m:r>
          </m:e>
          <m:sup>
            <m:r>
              <m:t>6</m:t>
            </m:r>
          </m:sup>
        </m:sSup>
      </m:oMath>
      <w:r>
        <w:t xml:space="preserve">) phases. The elasticity of</w:t>
      </w:r>
      <w:r>
        <w:t xml:space="preserve"> </w:t>
      </w:r>
      <m:oMath>
        <m:sSub>
          <m:e>
            <m:r>
              <m:t>λ</m:t>
            </m:r>
          </m:e>
          <m:sub>
            <m:r>
              <m:t>r</m:t>
            </m:r>
          </m:sub>
        </m:sSub>
      </m:oMath>
      <w:r>
        <w:t xml:space="preserve">’s elasticity to cohort two fecundity were the highest in S2 (1.4 x</w:t>
      </w:r>
      <w:r>
        <w:t xml:space="preserve"> </w:t>
      </w:r>
      <m:oMath>
        <m:sSup>
          <m:e>
            <m:r>
              <m:t>10</m:t>
            </m:r>
          </m:e>
          <m:sup>
            <m:r>
              <m:t>10</m:t>
            </m:r>
          </m:sup>
        </m:sSup>
      </m:oMath>
      <w:r>
        <w:t xml:space="preserve"> </w:t>
      </w:r>
      <w:r>
        <w:t xml:space="preserve">and 8.4 x</w:t>
      </w:r>
      <w:r>
        <w:t xml:space="preserve"> </w:t>
      </w:r>
      <m:oMath>
        <m:sSup>
          <m:e>
            <m:r>
              <m:t>10</m:t>
            </m:r>
          </m:e>
          <m:sup>
            <m:r>
              <m:t>9</m:t>
            </m:r>
          </m:sup>
        </m:sSup>
      </m:oMath>
      <w:r>
        <w:t xml:space="preserve">), C3 (1 x</w:t>
      </w:r>
      <w:r>
        <w:t xml:space="preserve"> </w:t>
      </w:r>
      <m:oMath>
        <m:sSup>
          <m:e>
            <m:r>
              <m:t>10</m:t>
            </m:r>
          </m:e>
          <m:sup>
            <m:r>
              <m:t>10</m:t>
            </m:r>
          </m:sup>
        </m:sSup>
      </m:oMath>
      <w:r>
        <w:t xml:space="preserve"> </w:t>
      </w:r>
      <w:r>
        <w:t xml:space="preserve">and 1 x</w:t>
      </w:r>
      <w:r>
        <w:t xml:space="preserve"> </w:t>
      </w:r>
      <m:oMath>
        <m:sSup>
          <m:e>
            <m:r>
              <m:t>10</m:t>
            </m:r>
          </m:e>
          <m:sup>
            <m:r>
              <m:t>9</m:t>
            </m:r>
          </m:sup>
        </m:sSup>
      </m:oMath>
      <w:r>
        <w:t xml:space="preserve">), O3 (3 x</w:t>
      </w:r>
      <w:r>
        <w:t xml:space="preserve"> </w:t>
      </w:r>
      <m:oMath>
        <m:sSup>
          <m:e>
            <m:r>
              <m:t>10</m:t>
            </m:r>
          </m:e>
          <m:sup>
            <m:r>
              <m:t>8</m:t>
            </m:r>
          </m:sup>
        </m:sSup>
      </m:oMath>
      <w:r>
        <w:t xml:space="preserve"> </w:t>
      </w:r>
      <w:r>
        <w:t xml:space="preserve">and 2.5 x</w:t>
      </w:r>
      <w:r>
        <w:t xml:space="preserve"> </w:t>
      </w:r>
      <m:oMath>
        <m:sSup>
          <m:e>
            <m:r>
              <m:t>10</m:t>
            </m:r>
          </m:e>
          <m:sup>
            <m:r>
              <m:t>7</m:t>
            </m:r>
          </m:sup>
        </m:sSup>
      </m:oMath>
      <w:r>
        <w:t xml:space="preserve">), C4 (1.6 x</w:t>
      </w:r>
      <w:r>
        <w:t xml:space="preserve"> </w:t>
      </w:r>
      <m:oMath>
        <m:sSup>
          <m:e>
            <m:r>
              <m:t>10</m:t>
            </m:r>
          </m:e>
          <m:sup>
            <m:r>
              <m:t>9</m:t>
            </m:r>
          </m:sup>
        </m:sSup>
      </m:oMath>
      <w:r>
        <w:t xml:space="preserve"> </w:t>
      </w:r>
      <w:r>
        <w:t xml:space="preserve">and 1 x</w:t>
      </w:r>
      <w:r>
        <w:t xml:space="preserve"> </w:t>
      </w:r>
      <m:oMath>
        <m:sSup>
          <m:e>
            <m:r>
              <m:t>10</m:t>
            </m:r>
          </m:e>
          <m:sup>
            <m:r>
              <m:t>10</m:t>
            </m:r>
          </m:sup>
        </m:sSup>
      </m:oMath>
      <w:r>
        <w:t xml:space="preserve">), S4 (8.4 x</w:t>
      </w:r>
      <w:r>
        <w:t xml:space="preserve"> </w:t>
      </w:r>
      <m:oMath>
        <m:sSup>
          <m:e>
            <m:r>
              <m:t>10</m:t>
            </m:r>
          </m:e>
          <m:sup>
            <m:r>
              <m:t>7</m:t>
            </m:r>
          </m:sup>
        </m:sSup>
      </m:oMath>
      <w:r>
        <w:t xml:space="preserve"> </w:t>
      </w:r>
      <w:r>
        <w:t xml:space="preserve">and 8.8 x</w:t>
      </w:r>
      <w:r>
        <w:t xml:space="preserve"> </w:t>
      </w:r>
      <m:oMath>
        <m:sSup>
          <m:e>
            <m:r>
              <m:t>10</m:t>
            </m:r>
          </m:e>
          <m:sup>
            <m:r>
              <m:t>7</m:t>
            </m:r>
          </m:sup>
        </m:sSup>
      </m:oMath>
      <w:r>
        <w:t xml:space="preserve">), and A4 (1.1 x</w:t>
      </w:r>
      <w:r>
        <w:t xml:space="preserve"> </w:t>
      </w:r>
      <m:oMath>
        <m:sSup>
          <m:e>
            <m:r>
              <m:t>10</m:t>
            </m:r>
          </m:e>
          <m:sup>
            <m:r>
              <m:t>7</m:t>
            </m:r>
          </m:sup>
        </m:sSup>
      </m:oMath>
      <w:r>
        <w:t xml:space="preserve"> </w:t>
      </w:r>
      <w:r>
        <w:t xml:space="preserve">and 3 x</w:t>
      </w:r>
      <w:r>
        <w:t xml:space="preserve"> </w:t>
      </w:r>
      <m:oMath>
        <m:sSup>
          <m:e>
            <m:r>
              <m:t>10</m:t>
            </m:r>
          </m:e>
          <m:sup>
            <m:r>
              <m:t>5</m:t>
            </m:r>
          </m:sup>
        </m:sSup>
      </m:oMath>
      <w:r>
        <w:t xml:space="preserve">) phases. The second-ranked group of demographic parameters to</w:t>
      </w:r>
      <w:r>
        <w:t xml:space="preserve"> </w:t>
      </w:r>
      <m:oMath>
        <m:sSub>
          <m:e>
            <m:r>
              <m:t>λ</m:t>
            </m:r>
          </m:e>
          <m:sub>
            <m:r>
              <m:t>r</m:t>
            </m:r>
          </m:sub>
        </m:sSub>
      </m:oMath>
      <w:r>
        <w:t xml:space="preserve"> </w:t>
      </w:r>
      <w:r>
        <w:t xml:space="preserve">differed by rotation and crop phase. In the 2-year rotation, the second-ranked group of parameters in contribution to the elasticity of</w:t>
      </w:r>
      <w:r>
        <w:t xml:space="preserve"> </w:t>
      </w:r>
      <m:oMath>
        <m:r>
          <m:t>λ</m:t>
        </m:r>
        <m:d>
          <m:dPr>
            <m:begChr m:val="("/>
            <m:endChr m:val=")"/>
            <m:sepChr m:val=""/>
            <m:grow/>
          </m:dPr>
          <m:e>
            <m:r>
              <m:t>2</m:t>
            </m:r>
          </m:e>
        </m:d>
      </m:oMath>
      <w:r>
        <w:t xml:space="preserve"> </w:t>
      </w:r>
      <w:r>
        <w:t xml:space="preserve">were both pre-planting tillage-induced seed movement and overwinter seed survival. In the 3-year rotation, the second-ranked group of parameters in contribution to elasticity of</w:t>
      </w:r>
      <w:r>
        <w:t xml:space="preserve"> </w:t>
      </w:r>
      <m:oMath>
        <m:r>
          <m:t>λ</m:t>
        </m:r>
        <m:d>
          <m:dPr>
            <m:begChr m:val="("/>
            <m:endChr m:val=")"/>
            <m:sepChr m:val=""/>
            <m:grow/>
          </m:dPr>
          <m:e>
            <m:r>
              <m:t>3</m:t>
            </m:r>
          </m:e>
        </m:d>
      </m:oMath>
      <w:r>
        <w:t xml:space="preserve"> </w:t>
      </w:r>
      <w:r>
        <w:t xml:space="preserve">was pre-planting tillage-induced seed movement in the warm-season crop phases; and overwinter seed survival in the cool-season crop phase. In the 4-year rotation, the second-ranked group of parameters in contribution to elasticity of</w:t>
      </w:r>
      <w:r>
        <w:t xml:space="preserve"> </w:t>
      </w:r>
      <m:oMath>
        <m:r>
          <m:t>λ</m:t>
        </m:r>
        <m:d>
          <m:dPr>
            <m:begChr m:val="("/>
            <m:endChr m:val=")"/>
            <m:sepChr m:val=""/>
            <m:grow/>
          </m:dPr>
          <m:e>
            <m:r>
              <m:t>4</m:t>
            </m:r>
          </m:e>
        </m:d>
      </m:oMath>
      <w:r>
        <w:t xml:space="preserve"> </w:t>
      </w:r>
      <w:r>
        <w:t xml:space="preserve">was overwinter seed survival in the cool-season crop phase and pre-planting tillage-induced seed movement in the warm-season crop phases; a reverse trend as compared to the 3-year rotation’s dynamics.</w:t>
      </w:r>
    </w:p>
    <w:p>
      <w:pPr>
        <w:pStyle w:val="CaptionedFigure"/>
      </w:pPr>
      <w:r>
        <w:drawing>
          <wp:inline>
            <wp:extent cx="5334000" cy="8001000"/>
            <wp:effectExtent b="0" l="0" r="0" t="0"/>
            <wp:docPr descr="Figure 2: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 title="" id="1" name="Picture"/>
            <a:graphic>
              <a:graphicData uri="http://schemas.openxmlformats.org/drawingml/2006/picture">
                <pic:pic>
                  <pic:nvPicPr>
                    <pic:cNvPr descr="results_files/figure-docx/scenario1-phase-wise-lambda-plot-1.png" id="0" name="Picture"/>
                    <pic:cNvPicPr>
                      <a:picLocks noChangeArrowheads="1" noChangeAspect="1"/>
                    </pic:cNvPicPr>
                  </pic:nvPicPr>
                  <pic:blipFill>
                    <a:blip r:embed="rId54"/>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2: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w:t>
      </w:r>
    </w:p>
    <w:p>
      <w:pPr>
        <w:pStyle w:val="TableCaption"/>
      </w:pPr>
      <w:r>
        <w:t xml:space="preserve">Table 4: Scenario1 - Elasticity of population growth rates in three rotations crossed with two corn weed management programs to lower-level demographic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792"/>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52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Crop 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τ_11s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τ_21s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τ_12s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τ_22s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1 - Σ γ</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σ_s1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σ_s2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τ_11f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τ_21f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τ_12f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τ_22f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ω_11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ω_22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43.13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4.18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0.91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305.24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231.70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144.55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323.07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245.23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2.41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5.49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1.16</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3.98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r>
      <w:tr>
        <w:trPr>
          <w:cantSplit/>
          <w:trHeight w:val="4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7.09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36.78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r>
      <w:tr>
        <w:trPr>
          <w:cantSplit/>
          <w:trHeight w:val="499"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1.86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1.58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2.79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14.49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probability of seed movement from soil stratum i to j by pre-planting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probability of non-emerging seeds in the top (0-2 cm) soil stratum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summer survival probabilities of the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individual fecundity of mature plants in cohorts 1 through 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probability of seed movement from soil stratum i to j by post-harvest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overwinter survival probabilities of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All-zero columns are excluded. In Crop_ID: C2 - corn in the 2 year rotation, S2 - soybean in the 2-year rotation, C3 - corn in the 3-year rotation, S3 - soybean in the 3-year rotation, O3 - oat intercroped with red clover in the 3-year rotation, C4 - corn in the 4-year rotation, S4 - soybean in the 4-year rotation, O4 - oat intercropped with alfalfa in the 4-year rotation, and A4 - alfalfa in the 4-year rotation.</w:t>
            </w:r>
          </w:p>
        </w:tc>
      </w:tr>
    </w:tbl>
    <w:p>
      <w:pPr>
        <w:pStyle w:val="CaptionedFigure"/>
      </w:pPr>
      <w:r>
        <w:drawing>
          <wp:inline>
            <wp:extent cx="5334000" cy="8001000"/>
            <wp:effectExtent b="0" l="0" r="0" t="0"/>
            <wp:docPr descr="Figure 3: Scenario 1: Changes of a seed column after four model years (only four years are illustrated because of scale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itle="" id="1" name="Picture"/>
            <a:graphic>
              <a:graphicData uri="http://schemas.openxmlformats.org/drawingml/2006/picture">
                <pic:pic>
                  <pic:nvPicPr>
                    <pic:cNvPr descr="results_files/figure-docx/scenario2-phase-wise-lambda-plot-1.png" id="0" name="Picture"/>
                    <pic:cNvPicPr>
                      <a:picLocks noChangeArrowheads="1" noChangeAspect="1"/>
                    </pic:cNvPicPr>
                  </pic:nvPicPr>
                  <pic:blipFill>
                    <a:blip r:embed="rId55"/>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3: Scenario 1: Changes of a seed column after four model years (only four years are illustrated because of scales)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w:t>
      </w:r>
    </w:p>
    <w:p>
      <w:pPr>
        <w:pStyle w:val="TableCaption"/>
      </w:pPr>
      <w:r>
        <w:t xml:space="preserve">Table 5: Scenario 2 - Elasticity of population growth rates in three rotations crossed with two corn weed management programs to lower-level demographic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331"/>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48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Crop 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τ_11s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τ_21s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τ_12s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τ_22s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1 - Σ γ</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σ_s1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σ_s2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τ_11f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τ_21f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τ_12f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τ_22f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ω_11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ω_22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1,466.84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1,437.21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1,522.79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4,099,185,668.80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990,125,323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237,420,871.69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50,445,968.31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22,152,907.95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28,440,558.71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1,407.87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1,040.05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1,019.03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1,075.11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2,766,736,655.89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668,282,983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160,246,712.80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34,048,399.11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14,952,058.14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19,195,894.66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998.23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1,224.96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1,199.30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855.64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837.72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2,092.52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2,093,885,714.17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14,238,156,534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711,346,410.36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517,111,697.67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414,505,814.44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395,211,907.50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1,684.99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868.54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850.35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606.68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593.98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1,513.48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1,228,712,929.01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8,355,091,637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417,425,137.15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303,446,279.03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243,236,127.89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231,914,271.71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1,194.72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67.32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687.06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3,659.78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1,052.30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5,592,860,407.22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10,241,029,161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6,553,794,288.93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4,170,959,828.12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274,584,905.82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57,989,495.69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4,051.81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586.62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5,987.41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31,893.50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9,066.99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560,845,021.29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1,026,957,549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657,206,264.75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418,258,616.04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27,535,029.69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5,815,113.84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35,309.85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3,560.69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2,425.33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3,767.47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4,430,424,819.92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884,087,490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219,595,694.18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18,713,992.16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38,195,564.95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83,849,529.43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3.41</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31,029.99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21,135.75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33,065.92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97,536,117,996.12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19,463,249,057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4,834,414,849.40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411,989,870.50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840,878,083.09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1,845,953,363.11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42.66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29.74</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34,174,840.90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303,196,630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370,916.67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5,688,132.59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354,078.03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354,071.33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3,911.43</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44.21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63.33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44.57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89.86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2,873,761.48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25,495,797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31,190.37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478,314.92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29,774.41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29,773.85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34,086.54</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732,440,602.93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1,645,017,490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15,670,814.43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1,247,105,405.17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61,862,197.17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18,259,659.49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4,514,711,997.21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10,139,771,288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96,593,790.20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7,687,069,384.22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381,314,201.65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112,551,247.76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30,614,999.62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84,392,111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57,466,194.44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33,438,761.46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12,281,030.64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2,230,608.04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15,656.18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32,141,403.63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88,599,736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60,331,346.52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35,105,952.72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12,893,338.81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2,341,821.80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23,234.04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13,622.02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13,336.57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127.87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125.19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12,781.83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8,360,399.81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1,850,989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241,204.83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335,121.62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335,121.62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361,855.36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43.38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52.93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286.31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34.27</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20,215.32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19,791.70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189.75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18,968.23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6,486,555.88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1,436,120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187,142.80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260,009.71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260,009.71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280,751.53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52.26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64.38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78.55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96.76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424.88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50.85</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684.84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92.63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478.10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578.30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1,387,435.20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11,740,397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101,418.96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81,652.35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69,727.16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67,827.97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48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1,016.31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137.46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709.51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95.96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883.03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36,200.67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306,328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2,646.20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2,130.46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1,819.31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1,769.75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probability of seed movement from soil stratum i to j by pre-planting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probability of non-emerging seeds in the top (0-2 cm) soil stratum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summer survival probabilities of the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individual fecundity of mature plants in cohorts 1 through 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probability of seed movement from soil stratum i to j by post-harvest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overwinter survival probabilities of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All-zero columns are excluded. In Crop_ID: C2 - corn in the 2 year rotation, S2 - soybean in the 2-year rotation, C3 - corn in the 3-year rotation, S3 - soybean in the 3-year rotation, O3 - oat intercroped with red clover in the 3-year rotation, C4 - corn in the 4-year rotation, S4 - soybean in the 4-year rotation, O4 - oat intercropped with alfalfa in the 4-year rotation, and A4 - alfalfa in the 4-year rotation.</w:t>
            </w:r>
          </w:p>
        </w:tc>
      </w:tr>
    </w:tbl>
    <w:p>
      <w:pPr>
        <w:pStyle w:val="SourceCode"/>
      </w:pPr>
      <w:r>
        <w:rPr>
          <w:rStyle w:val="FunctionTok"/>
        </w:rPr>
        <w:t xml:space="preserve">head</w:t>
      </w:r>
      <w:r>
        <w:rPr>
          <w:rStyle w:val="NormalTok"/>
        </w:rPr>
        <w:t xml:space="preserve">(iris)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footnote</w:t>
      </w:r>
      <w:r>
        <w:rPr>
          <w:rStyle w:val="NormalTok"/>
        </w:rPr>
        <w:t xml:space="preserve">(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"This is footnote one"</w:t>
      </w:r>
      <w:r>
        <w:rPr>
          <w:rStyle w:val="NormalTok"/>
        </w:rPr>
        <w:t xml:space="preserve">,</w:t>
      </w:r>
      <w:r>
        <w:br/>
      </w:r>
      <w:r>
        <w:rPr>
          <w:rStyle w:val="NormalTok"/>
        </w:rPr>
        <w:t xml:space="preserve">                   </w:t>
      </w:r>
      <w:r>
        <w:rPr>
          <w:rStyle w:val="StringTok"/>
        </w:rPr>
        <w:t xml:space="preserve">"This is footnote two"</w:t>
      </w:r>
      <w:r>
        <w:rPr>
          <w:rStyle w:val="NormalTok"/>
        </w:rPr>
        <w:t xml:space="preserve">)</w:t>
      </w:r>
      <w:r>
        <w:br/>
      </w:r>
      <w:r>
        <w:rPr>
          <w:rStyle w:val="NormalTok"/>
        </w:rPr>
        <w:t xml:space="preserve">               ),</w:t>
      </w:r>
      <w:r>
        <w:br/>
      </w:r>
      <w:r>
        <w:rPr>
          <w:rStyle w:val="NormalTok"/>
        </w:rPr>
        <w:t xml:space="preserve">               </w:t>
      </w:r>
      <w:r>
        <w:rPr>
          <w:rStyle w:val="AttributeTok"/>
        </w:rPr>
        <w:t xml:space="preserve">ref_symbols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footnote</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"This is footnote three"</w:t>
      </w:r>
      <w:r>
        <w:rPr>
          <w:rStyle w:val="NormalTok"/>
        </w:rPr>
        <w:t xml:space="preserve">,</w:t>
      </w:r>
      <w:r>
        <w:br/>
      </w:r>
      <w:r>
        <w:rPr>
          <w:rStyle w:val="NormalTok"/>
        </w:rPr>
        <w:t xml:space="preserve">                   </w:t>
      </w:r>
      <w:r>
        <w:rPr>
          <w:rStyle w:val="StringTok"/>
        </w:rPr>
        <w:t xml:space="preserve">"This is footnote four"</w:t>
      </w:r>
      <w:r>
        <w:rPr>
          <w:rStyle w:val="NormalTok"/>
        </w:rPr>
        <w:t xml:space="preserve">)</w:t>
      </w:r>
      <w:r>
        <w:br/>
      </w:r>
      <w:r>
        <w:rPr>
          <w:rStyle w:val="NormalTok"/>
        </w:rPr>
        <w:t xml:space="preserve">               ),</w:t>
      </w:r>
      <w:r>
        <w:br/>
      </w:r>
      <w:r>
        <w:rPr>
          <w:rStyle w:val="NormalTok"/>
        </w:rPr>
        <w:t xml:space="preserve">               </w:t>
      </w:r>
      <w:r>
        <w:rPr>
          <w:rStyle w:val="AttributeTok"/>
        </w:rPr>
        <w:t xml:space="preserve">ref_symbols =</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Sepal.Length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Sepal.Width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Petal.Length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Petal.Width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Species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This is footnote one</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This is footnote two</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This is footnote three</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This is footnote four</w:t>
            </w:r>
          </w:p>
        </w:tc>
      </w:tr>
    </w:tbl>
    <w:bookmarkEnd w:id="56"/>
    <w:bookmarkEnd w:id="57"/>
    <w:bookmarkStart w:id="58" w:name="conclusion"/>
    <w:p>
      <w:pPr>
        <w:pStyle w:val="Heading2"/>
      </w:pPr>
      <w:r>
        <w:t xml:space="preserve">Conclusion</w:t>
      </w:r>
    </w:p>
    <w:p>
      <w:pPr>
        <w:pStyle w:val="FirstParagraph"/>
      </w:pPr>
      <w:r>
        <w:t xml:space="preserve">The hypothesis that</w:t>
      </w:r>
      <w:r>
        <w:t xml:space="preserve"> </w:t>
      </w:r>
      <w:r>
        <w:t xml:space="preserve">“</w:t>
      </w:r>
      <w:r>
        <w:t xml:space="preserve">extending a conventional 2-year rotation of corn and soybean with cool-season crops can accelerate soil seedbank depletion</w:t>
      </w:r>
      <w:r>
        <w:t xml:space="preserve">”</w:t>
      </w:r>
      <w:r>
        <w:t xml:space="preserve"> </w:t>
      </w:r>
      <w:r>
        <w:t xml:space="preserve">was supported. The findings here illustrated that</w:t>
      </w:r>
      <w:r>
        <w:t xml:space="preserve"> </w:t>
      </w:r>
      <w:r>
        <w:t xml:space="preserve">“</w:t>
      </w:r>
      <w:r>
        <w:t xml:space="preserve">many little hammers</w:t>
      </w:r>
      <w:r>
        <w:t xml:space="preserve">”</w:t>
      </w:r>
      <w:r>
        <w:t xml:space="preserve"> </w:t>
      </w:r>
      <w:r>
        <w:t xml:space="preserve">concept could provide effective control of common waterhemp</w:t>
      </w:r>
      <w:r>
        <w:t xml:space="preserve"> </w:t>
      </w:r>
      <w:r>
        <w:t xml:space="preserve">(Liebman and Gallandt 1997)</w:t>
      </w:r>
      <w:r>
        <w:t xml:space="preserve">. Unlike giant foxtail whose bottle neck point in the life cycle was overwinter survival rate</w:t>
      </w:r>
      <w:r>
        <w:t xml:space="preserve"> </w:t>
      </w:r>
      <w:r>
        <w:t xml:space="preserve">(Adam Samuel Davis 2002)</w:t>
      </w:r>
      <w:r>
        <w:t xml:space="preserve">, waterhemp’s bottle neck point in its life cycle was seedling emergence rate. However, if the early emerged plants were unaffected by weed control programs, either through herbicide resistance or lack of exposure to cultivation, and successfully complete their life cycle, very few massive, prolific female plants would sufficiently replenish the soil seedbank.</w:t>
      </w:r>
    </w:p>
    <w:p>
      <w:pPr>
        <w:pStyle w:val="BodyText"/>
      </w:pPr>
      <w:r>
        <w:t xml:space="preserve">Since the elasticity of</w:t>
      </w:r>
      <w:r>
        <w:t xml:space="preserve"> </w:t>
      </w:r>
      <m:oMath>
        <m:r>
          <m:t>λ</m:t>
        </m:r>
      </m:oMath>
      <w:r>
        <w:t xml:space="preserve"> </w:t>
      </w:r>
      <w:r>
        <w:t xml:space="preserve">was the least contributed by seed emergence in both the</w:t>
      </w:r>
      <w:r>
        <w:t xml:space="preserve"> </w:t>
      </w:r>
      <m:oMath>
        <m:r>
          <m:t>λ</m:t>
        </m:r>
      </m:oMath>
      <w:r>
        <w:t xml:space="preserve">-increasing and</w:t>
      </w:r>
      <w:r>
        <w:t xml:space="preserve"> </w:t>
      </w:r>
      <m:oMath>
        <m:r>
          <m:t>λ</m:t>
        </m:r>
      </m:oMath>
      <w:r>
        <w:t xml:space="preserve">-decreasing scenarios, it would be helpful to focus on disrupting seed production by reducing individual plant size with delaying emergence or applying multiple mortality factors to successfully establishing plants, and by limiting seed deposit to the soil. Under the current 4-year rotation’s crop sequence, oat (O4) and alfalfa (A4) provided valuable opportunities to reduce plant size</w:t>
      </w:r>
      <w:r>
        <w:t xml:space="preserve"> </w:t>
      </w:r>
      <w:r>
        <w:t xml:space="preserve">(Nguyen and Liebman 2022b, 2022a)</w:t>
      </w:r>
      <w:r>
        <w:t xml:space="preserve">.</w:t>
      </w:r>
    </w:p>
    <w:p>
      <w:pPr>
        <w:pStyle w:val="BodyText"/>
      </w:pPr>
      <w:r>
        <w:t xml:space="preserve">Reduction of herbicide mass</w:t>
      </w:r>
      <w:r>
        <w:t xml:space="preserve"> </w:t>
      </w:r>
      <w:r>
        <w:t xml:space="preserve">(Nguyen and Liebman 2022b)</w:t>
      </w:r>
      <w:r>
        <w:t xml:space="preserve"> </w:t>
      </w:r>
      <w:r>
        <w:t xml:space="preserve">was not coincided with population growing in scenario one (</w:t>
      </w:r>
      <m:oMath>
        <m:r>
          <m:t>λ</m:t>
        </m:r>
        <m:r>
          <m:rPr>
            <m:sty m:val="p"/>
          </m:rPr>
          <m:t>&lt;</m:t>
        </m:r>
        <m:r>
          <m:t>1</m:t>
        </m:r>
      </m:oMath>
      <w:r>
        <w:t xml:space="preserve">) but coincided with population growing in scenario two (</w:t>
      </w:r>
      <m:oMath>
        <m:r>
          <m:t>λ</m:t>
        </m:r>
        <m:r>
          <m:rPr>
            <m:sty m:val="p"/>
          </m:rPr>
          <m:t>&gt;</m:t>
        </m:r>
        <m:r>
          <m:t>1</m:t>
        </m:r>
      </m:oMath>
      <w:r>
        <w:t xml:space="preserve">). In consideration of scenario two,</w:t>
      </w:r>
      <w:r>
        <w:t xml:space="preserve"> </w:t>
      </w:r>
      <m:oMath>
        <m:r>
          <m:t>λ</m:t>
        </m:r>
      </m:oMath>
      <w:r>
        <w:t xml:space="preserve">-increasing, it would be useful to examine how many years of continuous overwinter cover crops is necessary and which cool-season crop species would be efficient in decreasing waterhemp</w:t>
      </w:r>
      <w:r>
        <w:t xml:space="preserve"> </w:t>
      </w:r>
      <m:oMath>
        <m:r>
          <m:t>λ</m:t>
        </m:r>
      </m:oMath>
      <w:r>
        <w:t xml:space="preserve"> </w:t>
      </w:r>
      <w:r>
        <w:t xml:space="preserve">after steady seedbank replenishment. This investigation is needed because even if the increased in abundance of waterhemp and other present weed species, has not been observed at the experiment site</w:t>
      </w:r>
      <w:r>
        <w:t xml:space="preserve"> </w:t>
      </w:r>
      <w:r>
        <w:t xml:space="preserve">(Nguyen and Liebman 2022b)</w:t>
      </w:r>
      <w:r>
        <w:t xml:space="preserve">, an affluent seedbank of a highly competitive weed species habors risks of weed outbreaks.</w:t>
      </w:r>
    </w:p>
    <w:p>
      <w:pPr>
        <w:pStyle w:val="BodyText"/>
      </w:pPr>
      <w:r>
        <w:t xml:space="preserve">The cohort-based female survival rates at the experiment site were not realistically estimated due to small sample size in a high efficacy weed management program. Future experiments should focus on assessing cohort-based female survival rates in cool-season crop environments.</w:t>
      </w:r>
    </w:p>
    <w:bookmarkEnd w:id="58"/>
    <w:bookmarkStart w:id="64" w:name="appendix"/>
    <w:p>
      <w:pPr>
        <w:pStyle w:val="Heading2"/>
      </w:pPr>
      <w:r>
        <w:t xml:space="preserve">Appendix</w:t>
      </w:r>
    </w:p>
    <w:bookmarkStart w:id="60" w:name="X825c755cf9ca3349b48d7c6bb175b7116aa069e"/>
    <w:p>
      <w:pPr>
        <w:pStyle w:val="Heading3"/>
      </w:pPr>
      <w:r>
        <w:t xml:space="preserve">Seed densities at the top and bottom soil strata</w:t>
      </w:r>
    </w:p>
    <w:p>
      <w:pPr>
        <w:pStyle w:val="SourceCode"/>
      </w:pPr>
      <w:r>
        <w:rPr>
          <w:rStyle w:val="DocumentationTok"/>
        </w:rPr>
        <w:t xml:space="preserve">## ANOVA of Crop ID x Corn weed management effects on AMATA seedbank density at the 0-2 cm soil stratum</w:t>
      </w:r>
      <w:r>
        <w:br/>
      </w:r>
      <w:r>
        <w:rPr>
          <w:rStyle w:val="NormalTok"/>
        </w:rPr>
        <w:t xml:space="preserve">AMATA_female_top_lm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(AMATA_total_viable_density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br/>
      </w:r>
      <w:r>
        <w:rPr>
          <w:rStyle w:val="NormalTok"/>
        </w:rPr>
        <w:t xml:space="preserve">                     Crop_ID </w:t>
      </w:r>
      <w:r>
        <w:rPr>
          <w:rStyle w:val="SpecialCharTok"/>
        </w:rPr>
        <w:t xml:space="preserve">*</w:t>
      </w:r>
      <w:r>
        <w:rPr>
          <w:rStyle w:val="NormalTok"/>
        </w:rPr>
        <w:t xml:space="preserve"> Corn_weed_management, </w:t>
      </w:r>
      <w:r>
        <w:br/>
      </w:r>
      <w:r>
        <w:rPr>
          <w:rStyle w:val="NormalTok"/>
        </w:rPr>
        <w:t xml:space="preserve">                   </w:t>
      </w:r>
      <w:r>
        <w:rPr>
          <w:rStyle w:val="AttributeTok"/>
        </w:rPr>
        <w:t xml:space="preserve">data =</w:t>
      </w:r>
      <w:r>
        <w:rPr>
          <w:rStyle w:val="NormalTok"/>
        </w:rPr>
        <w:t xml:space="preserve"> top_stratum_female)</w:t>
      </w:r>
      <w:r>
        <w:br/>
      </w:r>
      <w:r>
        <w:br/>
      </w:r>
      <w:r>
        <w:br/>
      </w:r>
      <w:r>
        <w:rPr>
          <w:rStyle w:val="DocumentationTok"/>
        </w:rPr>
        <w:t xml:space="preserve">## ANOVA table of female seedbank density at the 0-2 cm soil stratum</w:t>
      </w:r>
      <w:r>
        <w:br/>
      </w:r>
      <w:r>
        <w:rPr>
          <w:rStyle w:val="NormalTok"/>
        </w:rPr>
        <w:t xml:space="preserve">AMATA_female_top_emm_log </w:t>
      </w:r>
      <w:r>
        <w:rPr>
          <w:rStyle w:val="OtherTok"/>
        </w:rPr>
        <w:t xml:space="preserve">&lt;-</w:t>
      </w:r>
      <w:r>
        <w:rPr>
          <w:rStyle w:val="NormalTok"/>
        </w:rPr>
        <w:t xml:space="preserve"> </w:t>
      </w:r>
      <w:r>
        <w:rPr>
          <w:rStyle w:val="FunctionTok"/>
        </w:rPr>
        <w:t xml:space="preserve">emmeans</w:t>
      </w:r>
      <w:r>
        <w:rPr>
          <w:rStyle w:val="NormalTok"/>
        </w:rPr>
        <w:t xml:space="preserve">(AMATA_female_top_lm, </w:t>
      </w:r>
      <w:r>
        <w:br/>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 </w:t>
      </w:r>
      <w:r>
        <w:rPr>
          <w:rStyle w:val="StringTok"/>
        </w:rPr>
        <w:t xml:space="preserve">"Corn_weed_management"</w:t>
      </w:r>
      <w:r>
        <w:rPr>
          <w:rStyle w:val="NormalTok"/>
        </w:rPr>
        <w:t xml:space="preserve">))</w:t>
      </w:r>
      <w:r>
        <w:br/>
      </w:r>
      <w:r>
        <w:br/>
      </w:r>
      <w:r>
        <w:rPr>
          <w:rStyle w:val="FunctionTok"/>
        </w:rPr>
        <w:t xml:space="preserve">joint_tests</w:t>
      </w:r>
      <w:r>
        <w:rPr>
          <w:rStyle w:val="NormalTok"/>
        </w:rPr>
        <w:t xml:space="preserve">(AMATA_female_top_emm_log )</w:t>
      </w:r>
    </w:p>
    <w:p>
      <w:pPr>
        <w:pStyle w:val="SourceCode"/>
      </w:pPr>
      <w:r>
        <w:rPr>
          <w:rStyle w:val="VerbatimChar"/>
        </w:rPr>
        <w:t xml:space="preserve">##  model term                   df1 df2 F.ratio p.value</w:t>
      </w:r>
      <w:r>
        <w:br/>
      </w:r>
      <w:r>
        <w:rPr>
          <w:rStyle w:val="VerbatimChar"/>
        </w:rPr>
        <w:t xml:space="preserve">##  Crop_ID                        8  51  14.638  &lt;.0001</w:t>
      </w:r>
      <w:r>
        <w:br/>
      </w:r>
      <w:r>
        <w:rPr>
          <w:rStyle w:val="VerbatimChar"/>
        </w:rPr>
        <w:t xml:space="preserve">##  Corn_weed_management           1  51   0.998  0.3225</w:t>
      </w:r>
      <w:r>
        <w:br/>
      </w:r>
      <w:r>
        <w:rPr>
          <w:rStyle w:val="VerbatimChar"/>
        </w:rPr>
        <w:t xml:space="preserve">##  Crop_ID:Corn_weed_management   8  51   0.343  0.9445</w:t>
      </w:r>
    </w:p>
    <w:p>
      <w:pPr>
        <w:pStyle w:val="SourceCode"/>
      </w:pPr>
      <w:r>
        <w:rPr>
          <w:rStyle w:val="DocumentationTok"/>
        </w:rPr>
        <w:t xml:space="preserve">## ANOVA of Crop ID x Corn weed management effects on AMATA seedbank density at the 2-20 cm soil stratum</w:t>
      </w:r>
      <w:r>
        <w:br/>
      </w:r>
      <w:r>
        <w:rPr>
          <w:rStyle w:val="NormalTok"/>
        </w:rPr>
        <w:t xml:space="preserve">AMATA_female_bottom_lm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(AMATA_total_viable_density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br/>
      </w:r>
      <w:r>
        <w:rPr>
          <w:rStyle w:val="NormalTok"/>
        </w:rPr>
        <w:t xml:space="preserve">                     Crop_ID </w:t>
      </w:r>
      <w:r>
        <w:rPr>
          <w:rStyle w:val="SpecialCharTok"/>
        </w:rPr>
        <w:t xml:space="preserve">*</w:t>
      </w:r>
      <w:r>
        <w:rPr>
          <w:rStyle w:val="NormalTok"/>
        </w:rPr>
        <w:t xml:space="preserve"> Corn_weed_management, </w:t>
      </w:r>
      <w:r>
        <w:br/>
      </w:r>
      <w:r>
        <w:rPr>
          <w:rStyle w:val="NormalTok"/>
        </w:rPr>
        <w:t xml:space="preserve">                   </w:t>
      </w:r>
      <w:r>
        <w:rPr>
          <w:rStyle w:val="AttributeTok"/>
        </w:rPr>
        <w:t xml:space="preserve">data =</w:t>
      </w:r>
      <w:r>
        <w:rPr>
          <w:rStyle w:val="NormalTok"/>
        </w:rPr>
        <w:t xml:space="preserve"> bottom_stratum_female)</w:t>
      </w:r>
      <w:r>
        <w:br/>
      </w:r>
      <w:r>
        <w:rPr>
          <w:rStyle w:val="NormalTok"/>
        </w:rPr>
        <w:t xml:space="preserve"> </w:t>
      </w:r>
      <w:r>
        <w:br/>
      </w:r>
      <w:r>
        <w:br/>
      </w:r>
      <w:r>
        <w:rPr>
          <w:rStyle w:val="DocumentationTok"/>
        </w:rPr>
        <w:t xml:space="preserve">## ANOVA table of female seedbank density at the 2-20 cm soil stratum</w:t>
      </w:r>
      <w:r>
        <w:br/>
      </w:r>
      <w:r>
        <w:rPr>
          <w:rStyle w:val="NormalTok"/>
        </w:rPr>
        <w:t xml:space="preserve">AMATA_female_bottom_emm_log </w:t>
      </w:r>
      <w:r>
        <w:rPr>
          <w:rStyle w:val="OtherTok"/>
        </w:rPr>
        <w:t xml:space="preserve">&lt;-</w:t>
      </w:r>
      <w:r>
        <w:rPr>
          <w:rStyle w:val="NormalTok"/>
        </w:rPr>
        <w:t xml:space="preserve"> </w:t>
      </w:r>
      <w:r>
        <w:rPr>
          <w:rStyle w:val="FunctionTok"/>
        </w:rPr>
        <w:t xml:space="preserve">emmeans</w:t>
      </w:r>
      <w:r>
        <w:rPr>
          <w:rStyle w:val="NormalTok"/>
        </w:rPr>
        <w:t xml:space="preserve">(AMATA_female_bottom_lm, </w:t>
      </w:r>
      <w:r>
        <w:rPr>
          <w:rStyle w:val="FunctionTok"/>
        </w:rPr>
        <w:t xml:space="preserve">c</w:t>
      </w:r>
      <w:r>
        <w:rPr>
          <w:rStyle w:val="NormalTok"/>
        </w:rPr>
        <w:t xml:space="preserve">(</w:t>
      </w:r>
      <w:r>
        <w:rPr>
          <w:rStyle w:val="StringTok"/>
        </w:rPr>
        <w:t xml:space="preserve">"Crop_ID"</w:t>
      </w:r>
      <w:r>
        <w:rPr>
          <w:rStyle w:val="NormalTok"/>
        </w:rPr>
        <w:t xml:space="preserve"> , </w:t>
      </w:r>
      <w:r>
        <w:rPr>
          <w:rStyle w:val="StringTok"/>
        </w:rPr>
        <w:t xml:space="preserve">"Corn_weed_management"</w:t>
      </w:r>
      <w:r>
        <w:rPr>
          <w:rStyle w:val="NormalTok"/>
        </w:rPr>
        <w:t xml:space="preserve">))</w:t>
      </w:r>
      <w:r>
        <w:br/>
      </w:r>
      <w:r>
        <w:br/>
      </w:r>
      <w:r>
        <w:rPr>
          <w:rStyle w:val="FunctionTok"/>
        </w:rPr>
        <w:t xml:space="preserve">joint_tests</w:t>
      </w:r>
      <w:r>
        <w:rPr>
          <w:rStyle w:val="NormalTok"/>
        </w:rPr>
        <w:t xml:space="preserve">(AMATA_female_bottom_emm_log)</w:t>
      </w:r>
    </w:p>
    <w:p>
      <w:pPr>
        <w:pStyle w:val="SourceCode"/>
      </w:pPr>
      <w:r>
        <w:rPr>
          <w:rStyle w:val="VerbatimChar"/>
        </w:rPr>
        <w:t xml:space="preserve">##  model term                   df1 df2 F.ratio p.value</w:t>
      </w:r>
      <w:r>
        <w:br/>
      </w:r>
      <w:r>
        <w:rPr>
          <w:rStyle w:val="VerbatimChar"/>
        </w:rPr>
        <w:t xml:space="preserve">##  Crop_ID                        8  51   8.812  &lt;.0001</w:t>
      </w:r>
      <w:r>
        <w:br/>
      </w:r>
      <w:r>
        <w:rPr>
          <w:rStyle w:val="VerbatimChar"/>
        </w:rPr>
        <w:t xml:space="preserve">##  Corn_weed_management           1  51   0.482  0.4908</w:t>
      </w:r>
      <w:r>
        <w:br/>
      </w:r>
      <w:r>
        <w:rPr>
          <w:rStyle w:val="VerbatimChar"/>
        </w:rPr>
        <w:t xml:space="preserve">##  Crop_ID:Corn_weed_management   8  51   0.288  0.9669</w:t>
      </w:r>
    </w:p>
    <w:p>
      <w:pPr>
        <w:pStyle w:val="CaptionedFigure"/>
      </w:pPr>
      <w:r>
        <w:drawing>
          <wp:inline>
            <wp:extent cx="5334000" cy="8534400"/>
            <wp:effectExtent b="0" l="0" r="0" t="0"/>
            <wp:docPr descr="Figure 4: Diagnosis plots for the effects of crop identity and crop weed managennt on the seedbank densities at the top (A) and bottom (B) soil strata" title="" id="1" name="Picture"/>
            <a:graphic>
              <a:graphicData uri="http://schemas.openxmlformats.org/drawingml/2006/picture">
                <pic:pic>
                  <pic:nvPicPr>
                    <pic:cNvPr descr="results_files/figure-docx/unnamed-chunk-10-1.png" id="0" name="Picture"/>
                    <pic:cNvPicPr>
                      <a:picLocks noChangeArrowheads="1" noChangeAspect="1"/>
                    </pic:cNvPicPr>
                  </pic:nvPicPr>
                  <pic:blipFill>
                    <a:blip r:embed="rId59"/>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4: Diagnosis plots for the effects of crop identity and crop weed managennt on the seedbank densities at the top (A) and bottom (B) soil strata</w:t>
      </w:r>
    </w:p>
    <w:bookmarkEnd w:id="60"/>
    <w:bookmarkStart w:id="62" w:name="Xb0424a53ff2488c27523e99f0c3cb7eddd7a7e3"/>
    <w:p>
      <w:pPr>
        <w:pStyle w:val="Heading3"/>
      </w:pPr>
      <w:r>
        <w:t xml:space="preserve">Emergence timing in different crop environments</w:t>
      </w:r>
    </w:p>
    <w:p>
      <w:pPr>
        <w:pStyle w:val="SourceCode"/>
      </w:pPr>
      <w:r>
        <w:rPr>
          <w:rStyle w:val="DocumentationTok"/>
        </w:rPr>
        <w:t xml:space="preserve">## Did crop identity and corn weed management affect waterhemp's first emergence timing in 2019?</w:t>
      </w:r>
      <w:r>
        <w:br/>
      </w:r>
      <w:r>
        <w:rPr>
          <w:rStyle w:val="NormalTok"/>
        </w:rPr>
        <w:t xml:space="preserve">Julian_cohort1_19_lm </w:t>
      </w:r>
      <w:r>
        <w:rPr>
          <w:rStyle w:val="OtherTok"/>
        </w:rPr>
        <w:t xml:space="preserve">&lt;-</w:t>
      </w:r>
      <w:r>
        <w:rPr>
          <w:rStyle w:val="NormalTok"/>
        </w:rPr>
        <w:t xml:space="preserve"> </w:t>
      </w:r>
      <w:r>
        <w:rPr>
          <w:rStyle w:val="FunctionTok"/>
        </w:rPr>
        <w:t xml:space="preserve">lm</w:t>
      </w:r>
      <w:r>
        <w:rPr>
          <w:rStyle w:val="NormalTok"/>
        </w:rPr>
        <w:t xml:space="preserve">(Julian_day  </w:t>
      </w:r>
      <w:r>
        <w:rPr>
          <w:rStyle w:val="SpecialCharTok"/>
        </w:rPr>
        <w:t xml:space="preserve">~</w:t>
      </w:r>
      <w:r>
        <w:rPr>
          <w:rStyle w:val="NormalTok"/>
        </w:rPr>
        <w:t xml:space="preserve"> Block </w:t>
      </w:r>
      <w:r>
        <w:rPr>
          <w:rStyle w:val="SpecialCharTok"/>
        </w:rPr>
        <w:t xml:space="preserve">+</w:t>
      </w:r>
      <w:r>
        <w:rPr>
          <w:rStyle w:val="NormalTok"/>
        </w:rPr>
        <w:t xml:space="preserve"> </w:t>
      </w:r>
      <w:r>
        <w:br/>
      </w:r>
      <w:r>
        <w:rPr>
          <w:rStyle w:val="NormalTok"/>
        </w:rPr>
        <w:t xml:space="preserve">                         Crop_ID</w:t>
      </w:r>
      <w:r>
        <w:rPr>
          <w:rStyle w:val="SpecialCharTok"/>
        </w:rPr>
        <w:t xml:space="preserve">*</w:t>
      </w:r>
      <w:r>
        <w:rPr>
          <w:rStyle w:val="NormalTok"/>
        </w:rPr>
        <w:t xml:space="preserve">Corn_weed_management,</w:t>
      </w:r>
      <w:r>
        <w:br/>
      </w:r>
      <w:r>
        <w:rPr>
          <w:rStyle w:val="AttributeTok"/>
        </w:rPr>
        <w:t xml:space="preserve">data =</w:t>
      </w:r>
      <w:r>
        <w:rPr>
          <w:rStyle w:val="NormalTok"/>
        </w:rPr>
        <w:t xml:space="preserve"> cohort1_2019_eu ) </w:t>
      </w:r>
      <w:r>
        <w:br/>
      </w:r>
      <w:r>
        <w:br/>
      </w:r>
      <w:r>
        <w:rPr>
          <w:rStyle w:val="FunctionTok"/>
        </w:rPr>
        <w:t xml:space="preserve">joint_tests</w:t>
      </w:r>
      <w:r>
        <w:rPr>
          <w:rStyle w:val="NormalTok"/>
        </w:rPr>
        <w:t xml:space="preserve">(Julian_cohort1_19_lm)</w:t>
      </w:r>
    </w:p>
    <w:p>
      <w:pPr>
        <w:pStyle w:val="SourceCode"/>
      </w:pPr>
      <w:r>
        <w:rPr>
          <w:rStyle w:val="VerbatimChar"/>
        </w:rPr>
        <w:t xml:space="preserve">##  model term                   df1 df2                             F.ratio</w:t>
      </w:r>
      <w:r>
        <w:br/>
      </w:r>
      <w:r>
        <w:rPr>
          <w:rStyle w:val="VerbatimChar"/>
        </w:rPr>
        <w:t xml:space="preserve">##  Block                          3  51                               2.000</w:t>
      </w:r>
      <w:r>
        <w:br/>
      </w:r>
      <w:r>
        <w:rPr>
          <w:rStyle w:val="VerbatimChar"/>
        </w:rPr>
        <w:t xml:space="preserve">##  Crop_ID                        8  51 3851911191786461636489811853312.000</w:t>
      </w:r>
      <w:r>
        <w:br/>
      </w:r>
      <w:r>
        <w:rPr>
          <w:rStyle w:val="VerbatimChar"/>
        </w:rPr>
        <w:t xml:space="preserve">##  Corn_weed_management           1  51                               0.000</w:t>
      </w:r>
      <w:r>
        <w:br/>
      </w:r>
      <w:r>
        <w:rPr>
          <w:rStyle w:val="VerbatimChar"/>
        </w:rPr>
        <w:t xml:space="preserve">##  Crop_ID:Corn_weed_management   8  51                               1.000</w:t>
      </w:r>
      <w:r>
        <w:br/>
      </w:r>
      <w:r>
        <w:rPr>
          <w:rStyle w:val="VerbatimChar"/>
        </w:rPr>
        <w:t xml:space="preserve">##  p.value</w:t>
      </w:r>
      <w:r>
        <w:br/>
      </w:r>
      <w:r>
        <w:rPr>
          <w:rStyle w:val="VerbatimChar"/>
        </w:rPr>
        <w:t xml:space="preserve">##   0.2023</w:t>
      </w:r>
      <w:r>
        <w:br/>
      </w:r>
      <w:r>
        <w:rPr>
          <w:rStyle w:val="VerbatimChar"/>
        </w:rPr>
        <w:t xml:space="preserve">##   &lt;.0001</w:t>
      </w:r>
      <w:r>
        <w:br/>
      </w:r>
      <w:r>
        <w:rPr>
          <w:rStyle w:val="VerbatimChar"/>
        </w:rPr>
        <w:t xml:space="preserve">##   0.6656</w:t>
      </w:r>
      <w:r>
        <w:br/>
      </w:r>
      <w:r>
        <w:rPr>
          <w:rStyle w:val="VerbatimChar"/>
        </w:rPr>
        <w:t xml:space="preserve">##   0.3385</w:t>
      </w:r>
    </w:p>
    <w:p>
      <w:pPr>
        <w:pStyle w:val="SourceCode"/>
      </w:pPr>
      <w:r>
        <w:rPr>
          <w:rStyle w:val="DocumentationTok"/>
        </w:rPr>
        <w:t xml:space="preserve">## Did crop identity and corn weed management affect waterhemp's first emergence timing in 2020?</w:t>
      </w:r>
      <w:r>
        <w:br/>
      </w:r>
      <w:r>
        <w:rPr>
          <w:rStyle w:val="NormalTok"/>
        </w:rPr>
        <w:t xml:space="preserve">Julian_cohort1_20_lm </w:t>
      </w:r>
      <w:r>
        <w:rPr>
          <w:rStyle w:val="OtherTok"/>
        </w:rPr>
        <w:t xml:space="preserve">&lt;-</w:t>
      </w:r>
      <w:r>
        <w:rPr>
          <w:rStyle w:val="NormalTok"/>
        </w:rPr>
        <w:t xml:space="preserve"> </w:t>
      </w:r>
      <w:r>
        <w:rPr>
          <w:rStyle w:val="FunctionTok"/>
        </w:rPr>
        <w:t xml:space="preserve">lm</w:t>
      </w:r>
      <w:r>
        <w:rPr>
          <w:rStyle w:val="NormalTok"/>
        </w:rPr>
        <w:t xml:space="preserve">(Julian_day </w:t>
      </w:r>
      <w:r>
        <w:rPr>
          <w:rStyle w:val="SpecialCharTok"/>
        </w:rPr>
        <w:t xml:space="preserve">~</w:t>
      </w:r>
      <w:r>
        <w:rPr>
          <w:rStyle w:val="NormalTok"/>
        </w:rPr>
        <w:t xml:space="preserve"> Block </w:t>
      </w:r>
      <w:r>
        <w:rPr>
          <w:rStyle w:val="SpecialCharTok"/>
        </w:rPr>
        <w:t xml:space="preserve">+</w:t>
      </w:r>
      <w:r>
        <w:rPr>
          <w:rStyle w:val="NormalTok"/>
        </w:rPr>
        <w:t xml:space="preserve"> </w:t>
      </w:r>
      <w:r>
        <w:br/>
      </w:r>
      <w:r>
        <w:rPr>
          <w:rStyle w:val="NormalTok"/>
        </w:rPr>
        <w:t xml:space="preserve">                         Crop_ID</w:t>
      </w:r>
      <w:r>
        <w:rPr>
          <w:rStyle w:val="SpecialCharTok"/>
        </w:rPr>
        <w:t xml:space="preserve">*</w:t>
      </w:r>
      <w:r>
        <w:rPr>
          <w:rStyle w:val="NormalTok"/>
        </w:rPr>
        <w:t xml:space="preserve">Corn_weed_management,</w:t>
      </w:r>
      <w:r>
        <w:br/>
      </w:r>
      <w:r>
        <w:rPr>
          <w:rStyle w:val="NormalTok"/>
        </w:rPr>
        <w:t xml:space="preserve">                         </w:t>
      </w:r>
      <w:r>
        <w:rPr>
          <w:rStyle w:val="AttributeTok"/>
        </w:rPr>
        <w:t xml:space="preserve">data=</w:t>
      </w:r>
      <w:r>
        <w:rPr>
          <w:rStyle w:val="NormalTok"/>
        </w:rPr>
        <w:t xml:space="preserve">cohort1_2020)</w:t>
      </w:r>
      <w:r>
        <w:br/>
      </w:r>
      <w:r>
        <w:br/>
      </w:r>
      <w:r>
        <w:rPr>
          <w:rStyle w:val="FunctionTok"/>
        </w:rPr>
        <w:t xml:space="preserve">joint_tests</w:t>
      </w:r>
      <w:r>
        <w:rPr>
          <w:rStyle w:val="NormalTok"/>
        </w:rPr>
        <w:t xml:space="preserve">(Julian_cohort1_20_lm )</w:t>
      </w:r>
    </w:p>
    <w:p>
      <w:pPr>
        <w:pStyle w:val="SourceCode"/>
      </w:pPr>
      <w:r>
        <w:rPr>
          <w:rStyle w:val="VerbatimChar"/>
        </w:rPr>
        <w:t xml:space="preserve">##  model term                   df1 df2   F.ratio p.value</w:t>
      </w:r>
      <w:r>
        <w:br/>
      </w:r>
      <w:r>
        <w:rPr>
          <w:rStyle w:val="VerbatimChar"/>
        </w:rPr>
        <w:t xml:space="preserve">##  Block                          1  53    13.250  0.0006</w:t>
      </w:r>
      <w:r>
        <w:br/>
      </w:r>
      <w:r>
        <w:rPr>
          <w:rStyle w:val="VerbatimChar"/>
        </w:rPr>
        <w:t xml:space="preserve">##  Crop_ID                        8  53 17436.223  &lt;.0001</w:t>
      </w:r>
      <w:r>
        <w:br/>
      </w:r>
      <w:r>
        <w:rPr>
          <w:rStyle w:val="VerbatimChar"/>
        </w:rPr>
        <w:t xml:space="preserve">##  Corn_weed_management           1  53     0.000  1.0000</w:t>
      </w:r>
      <w:r>
        <w:br/>
      </w:r>
      <w:r>
        <w:rPr>
          <w:rStyle w:val="VerbatimChar"/>
        </w:rPr>
        <w:t xml:space="preserve">##  Crop_ID:Corn_weed_management   8  53     0.000  1.0000</w:t>
      </w:r>
    </w:p>
    <w:p>
      <w:pPr>
        <w:pStyle w:val="CaptionedFigure"/>
      </w:pPr>
      <w:r>
        <w:drawing>
          <wp:inline>
            <wp:extent cx="5334000" cy="8534400"/>
            <wp:effectExtent b="0" l="0" r="0" t="0"/>
            <wp:docPr descr="Figure 5: Diagnosis plots for the effects of crop identity and corn weed management on the seedbank densities at the top (A) and bottom (B) soil strata" title="" id="1" name="Picture"/>
            <a:graphic>
              <a:graphicData uri="http://schemas.openxmlformats.org/drawingml/2006/picture">
                <pic:pic>
                  <pic:nvPicPr>
                    <pic:cNvPr descr="results_files/figure-docx/unnamed-chunk-13-1.png" id="0" name="Picture"/>
                    <pic:cNvPicPr>
                      <a:picLocks noChangeArrowheads="1" noChangeAspect="1"/>
                    </pic:cNvPicPr>
                  </pic:nvPicPr>
                  <pic:blipFill>
                    <a:blip r:embed="rId61"/>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5: Diagnosis plots for the effects of crop identity and corn weed management on the seedbank densities at the top (A) and bottom (B) soil strata</w:t>
      </w:r>
    </w:p>
    <w:bookmarkEnd w:id="62"/>
    <w:bookmarkStart w:id="63" w:name="female-survival-rate-by-cohort"/>
    <w:p>
      <w:pPr>
        <w:pStyle w:val="Heading3"/>
      </w:pPr>
      <w:r>
        <w:t xml:space="preserve">2019 female survival rate by cohort</w:t>
      </w:r>
    </w:p>
    <w:bookmarkEnd w:id="63"/>
    <w:bookmarkEnd w:id="64"/>
    <w:bookmarkEnd w:id="65"/>
    <w:bookmarkStart w:id="123" w:name="reference"/>
    <w:p>
      <w:pPr>
        <w:pStyle w:val="Heading1"/>
      </w:pPr>
      <w:r>
        <w:t xml:space="preserve">Reference</w:t>
      </w:r>
    </w:p>
    <w:bookmarkStart w:id="122" w:name="refs"/>
    <w:bookmarkStart w:id="67" w:name="Xa0edb71fbd6332315656ec2eb89a08344c9c57b"/>
    <w:p>
      <w:pPr>
        <w:pStyle w:val="Bibliography"/>
      </w:pPr>
      <w:r>
        <w:t xml:space="preserve">Bagavathiannan, Muthukumar V., and Jason K. Norsworthy. 2013.</w:t>
      </w:r>
      <w:r>
        <w:t xml:space="preserve"> </w:t>
      </w:r>
      <w:r>
        <w:t xml:space="preserve">“Postdispersal Loss of Important Arable Weed Seeds in the Midsouthern</w:t>
      </w:r>
      <w:r>
        <w:t xml:space="preserve"> </w:t>
      </w:r>
      <w:r>
        <w:t xml:space="preserve">United States</w:t>
      </w:r>
      <w:r>
        <w:t xml:space="preserve">.”</w:t>
      </w:r>
      <w:r>
        <w:t xml:space="preserve"> </w:t>
      </w:r>
      <w:r>
        <w:rPr>
          <w:iCs/>
          <w:i/>
        </w:rPr>
        <w:t xml:space="preserve">Weed Science</w:t>
      </w:r>
      <w:r>
        <w:t xml:space="preserve"> </w:t>
      </w:r>
      <w:r>
        <w:t xml:space="preserve">61 (4): 570–79.</w:t>
      </w:r>
      <w:r>
        <w:t xml:space="preserve"> </w:t>
      </w:r>
      <w:hyperlink r:id="rId66">
        <w:r>
          <w:rPr>
            <w:rStyle w:val="Hyperlink"/>
          </w:rPr>
          <w:t xml:space="preserve">https://doi.org/f5c394</w:t>
        </w:r>
      </w:hyperlink>
      <w:r>
        <w:t xml:space="preserve">.</w:t>
      </w:r>
    </w:p>
    <w:bookmarkEnd w:id="67"/>
    <w:bookmarkStart w:id="69" w:name="ref-borzaComparingEstimatesSeed2007"/>
    <w:p>
      <w:pPr>
        <w:pStyle w:val="Bibliography"/>
      </w:pPr>
      <w:r>
        <w:t xml:space="preserve">Borza, Jaclyn K., Paula R. Westerman, and Matt Liebman. 2007.</w:t>
      </w:r>
      <w:r>
        <w:t xml:space="preserve"> </w:t>
      </w:r>
      <w:r>
        <w:t xml:space="preserve">“Comparing Estimates of Seed Viability in Three Foxtail (Setaria) Species Using the Imbibed Seed Crush Test with and Without Additional Tetrazolium Testing.”</w:t>
      </w:r>
      <w:r>
        <w:t xml:space="preserve"> </w:t>
      </w:r>
      <w:r>
        <w:rPr>
          <w:iCs/>
          <w:i/>
        </w:rPr>
        <w:t xml:space="preserve">Weed Technology</w:t>
      </w:r>
      <w:r>
        <w:t xml:space="preserve"> </w:t>
      </w:r>
      <w:r>
        <w:t xml:space="preserve">21 (2): 518–22.</w:t>
      </w:r>
      <w:r>
        <w:t xml:space="preserve"> </w:t>
      </w:r>
      <w:hyperlink r:id="rId68">
        <w:r>
          <w:rPr>
            <w:rStyle w:val="Hyperlink"/>
          </w:rPr>
          <w:t xml:space="preserve">https://doi.org/d8wnfq</w:t>
        </w:r>
      </w:hyperlink>
      <w:r>
        <w:t xml:space="preserve">.</w:t>
      </w:r>
    </w:p>
    <w:bookmarkEnd w:id="69"/>
    <w:bookmarkStart w:id="71" w:name="ref-buhlerEmergencePersistenceSeed2001"/>
    <w:p>
      <w:pPr>
        <w:pStyle w:val="Bibliography"/>
      </w:pPr>
      <w:r>
        <w:t xml:space="preserve">Buhler, Douglas D., and Robert G. Hartzler. 2001.</w:t>
      </w:r>
      <w:r>
        <w:t xml:space="preserve"> </w:t>
      </w:r>
      <w:r>
        <w:t xml:space="preserve">“Emergence and Persistence of Seed of Velvetleaf, Common Waterhemp, Woolly Cupgrass, and Giant Foxtail.”</w:t>
      </w:r>
      <w:r>
        <w:t xml:space="preserve"> </w:t>
      </w:r>
      <w:r>
        <w:rPr>
          <w:iCs/>
          <w:i/>
        </w:rPr>
        <w:t xml:space="preserve">Weed Science</w:t>
      </w:r>
      <w:r>
        <w:t xml:space="preserve"> </w:t>
      </w:r>
      <w:r>
        <w:t xml:space="preserve">49 (2): 230–35.</w:t>
      </w:r>
      <w:r>
        <w:t xml:space="preserve"> </w:t>
      </w:r>
      <w:hyperlink r:id="rId70">
        <w:r>
          <w:rPr>
            <w:rStyle w:val="Hyperlink"/>
          </w:rPr>
          <w:t xml:space="preserve">https://doi.org/dmnt6f</w:t>
        </w:r>
      </w:hyperlink>
      <w:r>
        <w:t xml:space="preserve">.</w:t>
      </w:r>
    </w:p>
    <w:bookmarkEnd w:id="71"/>
    <w:bookmarkStart w:id="72" w:name="ref-burnsideSeedLongevity411996"/>
    <w:p>
      <w:pPr>
        <w:pStyle w:val="Bibliography"/>
      </w:pPr>
      <w:r>
        <w:t xml:space="preserve">Burnside, Orvin C., Robert G. Wilson, Sanford Weisberg, and Kenneth G. Hubbard. 1996.</w:t>
      </w:r>
      <w:r>
        <w:t xml:space="preserve"> </w:t>
      </w:r>
      <w:r>
        <w:t xml:space="preserve">“Seed Longevity of 41 Weed Species Buried 17 Years in Eastern and Western</w:t>
      </w:r>
      <w:r>
        <w:t xml:space="preserve"> </w:t>
      </w:r>
      <w:r>
        <w:t xml:space="preserve">Nebraska</w:t>
      </w:r>
      <w:r>
        <w:t xml:space="preserve">.”</w:t>
      </w:r>
      <w:r>
        <w:t xml:space="preserve"> </w:t>
      </w:r>
      <w:r>
        <w:rPr>
          <w:iCs/>
          <w:i/>
        </w:rPr>
        <w:t xml:space="preserve">Weed Science</w:t>
      </w:r>
      <w:r>
        <w:t xml:space="preserve"> </w:t>
      </w:r>
      <w:r>
        <w:t xml:space="preserve">44 (1): 74–86.</w:t>
      </w:r>
    </w:p>
    <w:bookmarkEnd w:id="72"/>
    <w:bookmarkStart w:id="73" w:name="ref-caswellMatrixPopulationModels2001"/>
    <w:p>
      <w:pPr>
        <w:pStyle w:val="Bibliography"/>
      </w:pPr>
      <w:r>
        <w:t xml:space="preserve">Caswell, Hal. 2001.</w:t>
      </w:r>
      <w:r>
        <w:t xml:space="preserve"> </w:t>
      </w:r>
      <w:r>
        <w:rPr>
          <w:iCs/>
          <w:i/>
        </w:rPr>
        <w:t xml:space="preserve">Matrix Population Models: Construction, Analysis, and Interpretation</w:t>
      </w:r>
      <w:r>
        <w:t xml:space="preserve">. Second.</w:t>
      </w:r>
      <w:r>
        <w:t xml:space="preserve"> </w:t>
      </w:r>
      <w:r>
        <w:t xml:space="preserve">Sunderland, Mass.</w:t>
      </w:r>
      <w:r>
        <w:t xml:space="preserve">:</w:t>
      </w:r>
      <w:r>
        <w:t xml:space="preserve"> </w:t>
      </w:r>
      <w:r>
        <w:t xml:space="preserve">Sunderland, Mass. : Sinauer Associates</w:t>
      </w:r>
      <w:r>
        <w:t xml:space="preserve">.</w:t>
      </w:r>
    </w:p>
    <w:bookmarkEnd w:id="73"/>
    <w:bookmarkStart w:id="75" w:name="X1cd7fb867fec9a602f0a66c089839139a21c116"/>
    <w:p>
      <w:pPr>
        <w:pStyle w:val="Bibliography"/>
      </w:pPr>
      <w:r>
        <w:t xml:space="preserve">Caswell, Hal, and Maria Cristina Trevisan. 1994.</w:t>
      </w:r>
      <w:r>
        <w:t xml:space="preserve"> </w:t>
      </w:r>
      <w:r>
        <w:t xml:space="preserve">“Sensitivity Analysis of Periodic Matrix Models.”</w:t>
      </w:r>
      <w:r>
        <w:t xml:space="preserve"> </w:t>
      </w:r>
      <w:r>
        <w:rPr>
          <w:iCs/>
          <w:i/>
        </w:rPr>
        <w:t xml:space="preserve">Ecology</w:t>
      </w:r>
      <w:r>
        <w:t xml:space="preserve"> </w:t>
      </w:r>
      <w:r>
        <w:t xml:space="preserve">75 (5): 1299–1303.</w:t>
      </w:r>
      <w:r>
        <w:t xml:space="preserve"> </w:t>
      </w:r>
      <w:hyperlink r:id="rId74">
        <w:r>
          <w:rPr>
            <w:rStyle w:val="Hyperlink"/>
          </w:rPr>
          <w:t xml:space="preserve">https://doi.org/cbjqq5</w:t>
        </w:r>
      </w:hyperlink>
      <w:r>
        <w:t xml:space="preserve">.</w:t>
      </w:r>
    </w:p>
    <w:bookmarkEnd w:id="75"/>
    <w:bookmarkStart w:id="77" w:name="ref-cousensModelEffectsCultivation1990"/>
    <w:p>
      <w:pPr>
        <w:pStyle w:val="Bibliography"/>
      </w:pPr>
      <w:r>
        <w:t xml:space="preserve">Cousens, R., and S. R. Moss. 1990.</w:t>
      </w:r>
      <w:r>
        <w:t xml:space="preserve"> </w:t>
      </w:r>
      <w:r>
        <w:t xml:space="preserve">“A Model of the Effects of Cultivation on the Vertical Distribution of Weed Seeds Within the Soil.”</w:t>
      </w:r>
      <w:r>
        <w:t xml:space="preserve"> </w:t>
      </w:r>
      <w:r>
        <w:rPr>
          <w:iCs/>
          <w:i/>
        </w:rPr>
        <w:t xml:space="preserve">Weed Research</w:t>
      </w:r>
      <w:r>
        <w:t xml:space="preserve"> </w:t>
      </w:r>
      <w:r>
        <w:t xml:space="preserve">30 (1): 61–70.</w:t>
      </w:r>
      <w:r>
        <w:t xml:space="preserve"> </w:t>
      </w:r>
      <w:hyperlink r:id="rId76">
        <w:r>
          <w:rPr>
            <w:rStyle w:val="Hyperlink"/>
          </w:rPr>
          <w:t xml:space="preserve">https://doi.org/d824tt</w:t>
        </w:r>
      </w:hyperlink>
      <w:r>
        <w:t xml:space="preserve">.</w:t>
      </w:r>
    </w:p>
    <w:bookmarkEnd w:id="77"/>
    <w:bookmarkStart w:id="79" w:name="ref-cousensDynamicsWeedPopulations1995"/>
    <w:p>
      <w:pPr>
        <w:pStyle w:val="Bibliography"/>
      </w:pPr>
      <w:r>
        <w:t xml:space="preserve">Cousens, Roger, and Martin Mortimer. 1995.</w:t>
      </w:r>
      <w:r>
        <w:t xml:space="preserve"> </w:t>
      </w:r>
      <w:r>
        <w:rPr>
          <w:iCs/>
          <w:i/>
        </w:rPr>
        <w:t xml:space="preserve">Dynamics of Weed Populations</w:t>
      </w:r>
      <w:r>
        <w:t xml:space="preserve">.</w:t>
      </w:r>
      <w:r>
        <w:t xml:space="preserve"> </w:t>
      </w:r>
      <w:r>
        <w:t xml:space="preserve">Cambridge</w:t>
      </w:r>
      <w:r>
        <w:t xml:space="preserve">:</w:t>
      </w:r>
      <w:r>
        <w:t xml:space="preserve"> </w:t>
      </w:r>
      <w:r>
        <w:t xml:space="preserve">Cambridge University Press</w:t>
      </w:r>
      <w:r>
        <w:t xml:space="preserve">.</w:t>
      </w:r>
      <w:r>
        <w:t xml:space="preserve"> </w:t>
      </w:r>
      <w:hyperlink r:id="rId78">
        <w:r>
          <w:rPr>
            <w:rStyle w:val="Hyperlink"/>
          </w:rPr>
          <w:t xml:space="preserve">https://doi.org/10.1017/CBO9780511608629</w:t>
        </w:r>
      </w:hyperlink>
      <w:r>
        <w:t xml:space="preserve">.</w:t>
      </w:r>
    </w:p>
    <w:bookmarkEnd w:id="79"/>
    <w:bookmarkStart w:id="81" w:name="ref-davisWeedSeedPools2008"/>
    <w:p>
      <w:pPr>
        <w:pStyle w:val="Bibliography"/>
      </w:pPr>
      <w:r>
        <w:t xml:space="preserve">Davis, Adam S. 2008.</w:t>
      </w:r>
      <w:r>
        <w:t xml:space="preserve"> </w:t>
      </w:r>
      <w:r>
        <w:t xml:space="preserve">“Weed Seed Pools Concurrent with Corn and Soybean Harvest in</w:t>
      </w:r>
      <w:r>
        <w:t xml:space="preserve"> </w:t>
      </w:r>
      <w:r>
        <w:t xml:space="preserve">Illinois</w:t>
      </w:r>
      <w:r>
        <w:t xml:space="preserve">.”</w:t>
      </w:r>
      <w:r>
        <w:t xml:space="preserve"> </w:t>
      </w:r>
      <w:r>
        <w:rPr>
          <w:iCs/>
          <w:i/>
        </w:rPr>
        <w:t xml:space="preserve">Weed Science</w:t>
      </w:r>
      <w:r>
        <w:t xml:space="preserve"> </w:t>
      </w:r>
      <w:r>
        <w:t xml:space="preserve">56 (4): 503–8.</w:t>
      </w:r>
      <w:r>
        <w:t xml:space="preserve"> </w:t>
      </w:r>
      <w:hyperlink r:id="rId80">
        <w:r>
          <w:rPr>
            <w:rStyle w:val="Hyperlink"/>
          </w:rPr>
          <w:t xml:space="preserve">https://doi.org/bmncpf</w:t>
        </w:r>
      </w:hyperlink>
      <w:r>
        <w:t xml:space="preserve">.</w:t>
      </w:r>
    </w:p>
    <w:bookmarkEnd w:id="81"/>
    <w:bookmarkStart w:id="83" w:name="ref-davisCroppingSystemEffects2002"/>
    <w:p>
      <w:pPr>
        <w:pStyle w:val="Bibliography"/>
      </w:pPr>
      <w:r>
        <w:t xml:space="preserve">Davis, Adam Samuel. 2002.</w:t>
      </w:r>
      <w:r>
        <w:t xml:space="preserve"> </w:t>
      </w:r>
      <w:r>
        <w:t xml:space="preserve">“Cropping System Effects on Giant Foxtail Demography.”</w:t>
      </w:r>
      <w:r>
        <w:t xml:space="preserve"> </w:t>
      </w:r>
      <w:r>
        <w:t xml:space="preserve">Doctor of {{Philosophy}},</w:t>
      </w:r>
      <w:r>
        <w:t xml:space="preserve"> </w:t>
      </w:r>
      <w:r>
        <w:t xml:space="preserve">Ames</w:t>
      </w:r>
      <w:r>
        <w:t xml:space="preserve">: Iowa State University, Digital Repository.</w:t>
      </w:r>
      <w:r>
        <w:t xml:space="preserve"> </w:t>
      </w:r>
      <w:hyperlink r:id="rId82">
        <w:r>
          <w:rPr>
            <w:rStyle w:val="Hyperlink"/>
          </w:rPr>
          <w:t xml:space="preserve">https://doi.org/10.31274/rtd-180814-161</w:t>
        </w:r>
      </w:hyperlink>
      <w:r>
        <w:t xml:space="preserve">.</w:t>
      </w:r>
    </w:p>
    <w:bookmarkEnd w:id="83"/>
    <w:bookmarkStart w:id="85" w:name="Xc8e6bf8227d4849548aebee73db74b69ed93d74"/>
    <w:p>
      <w:pPr>
        <w:pStyle w:val="Bibliography"/>
      </w:pPr>
      <w:r>
        <w:t xml:space="preserve">Davis, Adam S., John Cardina, Frank Forcella, Gregg A. Johnson, George Kegode, John L. Lindquist, Edward C. Luschei, Karen A. Renner, Christy L. Sprague, and Martin M. Williams. 2005.</w:t>
      </w:r>
      <w:r>
        <w:t xml:space="preserve"> </w:t>
      </w:r>
      <w:r>
        <w:t xml:space="preserve">“Environmental Factors Affecting Seed Persistence of Annual Weeds Across the</w:t>
      </w:r>
      <w:r>
        <w:t xml:space="preserve"> </w:t>
      </w:r>
      <w:r>
        <w:t xml:space="preserve">U</w:t>
      </w:r>
      <w:r>
        <w:t xml:space="preserve">.</w:t>
      </w:r>
      <w:r>
        <w:t xml:space="preserve">S</w:t>
      </w:r>
      <w:r>
        <w:t xml:space="preserve">.</w:t>
      </w:r>
      <w:r>
        <w:t xml:space="preserve"> </w:t>
      </w:r>
      <w:r>
        <w:t xml:space="preserve">Corn Belt</w:t>
      </w:r>
      <w:r>
        <w:t xml:space="preserve">.”</w:t>
      </w:r>
      <w:r>
        <w:t xml:space="preserve"> </w:t>
      </w:r>
      <w:r>
        <w:rPr>
          <w:iCs/>
          <w:i/>
        </w:rPr>
        <w:t xml:space="preserve">Weed Science</w:t>
      </w:r>
      <w:r>
        <w:t xml:space="preserve"> </w:t>
      </w:r>
      <w:r>
        <w:t xml:space="preserve">53 (6): 860–68.</w:t>
      </w:r>
      <w:r>
        <w:t xml:space="preserve"> </w:t>
      </w:r>
      <w:hyperlink r:id="rId84">
        <w:r>
          <w:rPr>
            <w:rStyle w:val="Hyperlink"/>
          </w:rPr>
          <w:t xml:space="preserve">https://doi.org/dmvcdf</w:t>
        </w:r>
      </w:hyperlink>
      <w:r>
        <w:t xml:space="preserve">.</w:t>
      </w:r>
    </w:p>
    <w:bookmarkEnd w:id="85"/>
    <w:bookmarkStart w:id="87" w:name="ref-davisCroppingSystemEffects2003"/>
    <w:p>
      <w:pPr>
        <w:pStyle w:val="Bibliography"/>
      </w:pPr>
      <w:r>
        <w:t xml:space="preserve">Davis, Adam S., and Matt Liebman. 2003.</w:t>
      </w:r>
      <w:r>
        <w:t xml:space="preserve"> </w:t>
      </w:r>
      <w:r>
        <w:t xml:space="preserve">“Cropping System Effects on Giant Foxtail (</w:t>
      </w:r>
      <w:r>
        <w:rPr>
          <w:iCs/>
          <w:i/>
        </w:rPr>
        <w:t xml:space="preserve">Setaria Faberi</w:t>
      </w:r>
      <w:r>
        <w:t xml:space="preserve">) Demography:</w:t>
      </w:r>
      <w:r>
        <w:t xml:space="preserve"> </w:t>
      </w:r>
      <w:r>
        <w:t xml:space="preserve">I</w:t>
      </w:r>
      <w:r>
        <w:t xml:space="preserve">.</w:t>
      </w:r>
      <w:r>
        <w:t xml:space="preserve"> </w:t>
      </w:r>
      <w:r>
        <w:t xml:space="preserve">Green</w:t>
      </w:r>
      <w:r>
        <w:t xml:space="preserve"> </w:t>
      </w:r>
      <w:r>
        <w:t xml:space="preserve">Manure and Tillage Timing.”</w:t>
      </w:r>
      <w:r>
        <w:t xml:space="preserve"> </w:t>
      </w:r>
      <w:r>
        <w:rPr>
          <w:iCs/>
          <w:i/>
        </w:rPr>
        <w:t xml:space="preserve">Weed Science</w:t>
      </w:r>
      <w:r>
        <w:t xml:space="preserve"> </w:t>
      </w:r>
      <w:r>
        <w:t xml:space="preserve">51 (6): 919–29.</w:t>
      </w:r>
      <w:r>
        <w:t xml:space="preserve"> </w:t>
      </w:r>
      <w:hyperlink r:id="rId86">
        <w:r>
          <w:rPr>
            <w:rStyle w:val="Hyperlink"/>
          </w:rPr>
          <w:t xml:space="preserve">https://doi.org/bxq7q8</w:t>
        </w:r>
      </w:hyperlink>
      <w:r>
        <w:t xml:space="preserve">.</w:t>
      </w:r>
    </w:p>
    <w:bookmarkEnd w:id="87"/>
    <w:bookmarkStart w:id="89" w:name="ref-davisInfluenceSeedDepth2007"/>
    <w:p>
      <w:pPr>
        <w:pStyle w:val="Bibliography"/>
      </w:pPr>
      <w:r>
        <w:t xml:space="preserve">Davis, Adam S., and Karen A. Renner. 2007.</w:t>
      </w:r>
      <w:r>
        <w:t xml:space="preserve"> </w:t>
      </w:r>
      <w:r>
        <w:t xml:space="preserve">“Influence of Seed Depth and Pathogens on Fatal Germination of Velvetleaf (</w:t>
      </w:r>
      <w:r>
        <w:t xml:space="preserve">Abutilon</w:t>
      </w:r>
      <w:r>
        <w:t xml:space="preserve"> </w:t>
      </w:r>
      <w:r>
        <w:t xml:space="preserve">Theophrasti) and Giant Foxtail (</w:t>
      </w:r>
      <w:r>
        <w:t xml:space="preserve">Setaria</w:t>
      </w:r>
      <w:r>
        <w:t xml:space="preserve"> </w:t>
      </w:r>
      <w:r>
        <w:t xml:space="preserve">Faberi).”</w:t>
      </w:r>
      <w:r>
        <w:t xml:space="preserve"> </w:t>
      </w:r>
      <w:r>
        <w:rPr>
          <w:iCs/>
          <w:i/>
        </w:rPr>
        <w:t xml:space="preserve">Weed Sci.</w:t>
      </w:r>
      <w:r>
        <w:t xml:space="preserve"> </w:t>
      </w:r>
      <w:r>
        <w:t xml:space="preserve">55 (1): 30–35.</w:t>
      </w:r>
      <w:r>
        <w:t xml:space="preserve"> </w:t>
      </w:r>
      <w:hyperlink r:id="rId88">
        <w:r>
          <w:rPr>
            <w:rStyle w:val="Hyperlink"/>
          </w:rPr>
          <w:t xml:space="preserve">https://doi.org/cdzbdn</w:t>
        </w:r>
      </w:hyperlink>
      <w:r>
        <w:t xml:space="preserve">.</w:t>
      </w:r>
    </w:p>
    <w:bookmarkEnd w:id="89"/>
    <w:bookmarkStart w:id="91" w:name="Xc907e07d98bd6bffa03d74c28ca7d7eb0bc2523"/>
    <w:p>
      <w:pPr>
        <w:pStyle w:val="Bibliography"/>
      </w:pPr>
      <w:r>
        <w:t xml:space="preserve">Gibson, David J., Bryan G. Young, Micheal DK Owen, Karla L. Gage, Joseph L. Matthews, David L. Jordan, David R. Shaw, Stephen C. Weller, and Robert G. Wilson. 2016.</w:t>
      </w:r>
      <w:r>
        <w:t xml:space="preserve"> </w:t>
      </w:r>
      <w:r>
        <w:t xml:space="preserve">“Benchmark Study on Glyphosate-Resistant Cropping Systems in the United States.</w:t>
      </w:r>
      <w:r>
        <w:t xml:space="preserve"> </w:t>
      </w:r>
      <w:r>
        <w:t xml:space="preserve">Part</w:t>
      </w:r>
      <w:r>
        <w:t xml:space="preserve"> </w:t>
      </w:r>
      <w:r>
        <w:t xml:space="preserve">7: Effects of Weed Management Strategy (Grower Practices Versus Academic Recommendations) on the Weed Soil Seedbank over 6 Years.”</w:t>
      </w:r>
      <w:r>
        <w:t xml:space="preserve"> </w:t>
      </w:r>
      <w:r>
        <w:rPr>
          <w:iCs/>
          <w:i/>
        </w:rPr>
        <w:t xml:space="preserve">Pest Management Science</w:t>
      </w:r>
      <w:r>
        <w:t xml:space="preserve"> </w:t>
      </w:r>
      <w:r>
        <w:t xml:space="preserve">72 (4): 692–700.</w:t>
      </w:r>
      <w:r>
        <w:t xml:space="preserve"> </w:t>
      </w:r>
      <w:hyperlink r:id="rId90">
        <w:r>
          <w:rPr>
            <w:rStyle w:val="Hyperlink"/>
          </w:rPr>
          <w:t xml:space="preserve">https://doi.org/f8t6nh</w:t>
        </w:r>
      </w:hyperlink>
      <w:r>
        <w:t xml:space="preserve">.</w:t>
      </w:r>
    </w:p>
    <w:bookmarkEnd w:id="91"/>
    <w:bookmarkStart w:id="93" w:name="ref-hartzlerEffectCommonWaterhemp2004"/>
    <w:p>
      <w:pPr>
        <w:pStyle w:val="Bibliography"/>
      </w:pPr>
      <w:r>
        <w:t xml:space="preserve">Hartzler, Robert G., Bruce A. Battles, and Dawn Nordby. 2004.</w:t>
      </w:r>
      <w:r>
        <w:t xml:space="preserve"> </w:t>
      </w:r>
      <w:r>
        <w:t xml:space="preserve">“Effect of Common Waterhemp (</w:t>
      </w:r>
      <w:r>
        <w:rPr>
          <w:iCs/>
          <w:i/>
        </w:rPr>
        <w:t xml:space="preserve">Amaranthus Rudis</w:t>
      </w:r>
      <w:r>
        <w:t xml:space="preserve">) Emergence Date on Growth and Fecundity in Soybean.”</w:t>
      </w:r>
      <w:r>
        <w:t xml:space="preserve"> </w:t>
      </w:r>
      <w:r>
        <w:rPr>
          <w:iCs/>
          <w:i/>
        </w:rPr>
        <w:t xml:space="preserve">Weed Science</w:t>
      </w:r>
      <w:r>
        <w:t xml:space="preserve"> </w:t>
      </w:r>
      <w:r>
        <w:t xml:space="preserve">52 (2): 242–45.</w:t>
      </w:r>
      <w:r>
        <w:t xml:space="preserve"> </w:t>
      </w:r>
      <w:hyperlink r:id="rId92">
        <w:r>
          <w:rPr>
            <w:rStyle w:val="Hyperlink"/>
          </w:rPr>
          <w:t xml:space="preserve">https://doi.org/cmhpxk</w:t>
        </w:r>
      </w:hyperlink>
      <w:r>
        <w:t xml:space="preserve">.</w:t>
      </w:r>
    </w:p>
    <w:bookmarkEnd w:id="93"/>
    <w:bookmarkStart w:id="95" w:name="ref-korresSeedbankPersistencePalmer2018"/>
    <w:p>
      <w:pPr>
        <w:pStyle w:val="Bibliography"/>
      </w:pPr>
      <w:r>
        <w:t xml:space="preserve">Korres, Nicholas E., Jason K. Norsworthy, Bryan G. Young, Daniel B. Reynolds, William G. Johnson, Shawn P. Conley, Reid J. Smeda, et al. 2018.</w:t>
      </w:r>
      <w:r>
        <w:t xml:space="preserve"> </w:t>
      </w:r>
      <w:r>
        <w:t xml:space="preserve">“Seedbank Persistence of</w:t>
      </w:r>
      <w:r>
        <w:t xml:space="preserve"> </w:t>
      </w:r>
      <w:r>
        <w:t xml:space="preserve">Palmer</w:t>
      </w:r>
      <w:r>
        <w:t xml:space="preserve"> </w:t>
      </w:r>
      <w:r>
        <w:t xml:space="preserve">Amaranth (</w:t>
      </w:r>
      <w:r>
        <w:t xml:space="preserve">Amaranthus</w:t>
      </w:r>
      <w:r>
        <w:t xml:space="preserve"> </w:t>
      </w:r>
      <w:r>
        <w:t xml:space="preserve">Palmeri) and Waterhemp (</w:t>
      </w:r>
      <w:r>
        <w:rPr>
          <w:iCs/>
          <w:i/>
        </w:rPr>
        <w:t xml:space="preserve">Amaranthus</w:t>
      </w:r>
      <w:r>
        <w:t xml:space="preserve"> </w:t>
      </w:r>
      <w:r>
        <w:rPr>
          <w:iCs/>
          <w:i/>
        </w:rPr>
        <w:t xml:space="preserve">Tuberculatus</w:t>
      </w:r>
      <w:r>
        <w:t xml:space="preserve">)across Diverse Geographical Regions in the</w:t>
      </w:r>
      <w:r>
        <w:t xml:space="preserve"> </w:t>
      </w:r>
      <w:r>
        <w:t xml:space="preserve">United States</w:t>
      </w:r>
      <w:r>
        <w:t xml:space="preserve">.”</w:t>
      </w:r>
      <w:r>
        <w:t xml:space="preserve"> </w:t>
      </w:r>
      <w:r>
        <w:rPr>
          <w:iCs/>
          <w:i/>
        </w:rPr>
        <w:t xml:space="preserve">Weed Science</w:t>
      </w:r>
      <w:r>
        <w:t xml:space="preserve"> </w:t>
      </w:r>
      <w:r>
        <w:t xml:space="preserve">66 (4): 446–56.</w:t>
      </w:r>
      <w:r>
        <w:t xml:space="preserve"> </w:t>
      </w:r>
      <w:hyperlink r:id="rId94">
        <w:r>
          <w:rPr>
            <w:rStyle w:val="Hyperlink"/>
          </w:rPr>
          <w:t xml:space="preserve">https://doi.org/gd2hgf</w:t>
        </w:r>
      </w:hyperlink>
      <w:r>
        <w:t xml:space="preserve">.</w:t>
      </w:r>
    </w:p>
    <w:bookmarkEnd w:id="95"/>
    <w:bookmarkStart w:id="97" w:name="ref-leslieUseMatricesCertain1945"/>
    <w:p>
      <w:pPr>
        <w:pStyle w:val="Bibliography"/>
      </w:pPr>
      <w:r>
        <w:t xml:space="preserve">Leslie, P. H. 1945.</w:t>
      </w:r>
      <w:r>
        <w:t xml:space="preserve"> </w:t>
      </w:r>
      <w:r>
        <w:t xml:space="preserve">“On the Use of Matrices in Certain Population Mathematics.”</w:t>
      </w:r>
      <w:r>
        <w:t xml:space="preserve"> </w:t>
      </w:r>
      <w:r>
        <w:rPr>
          <w:iCs/>
          <w:i/>
        </w:rPr>
        <w:t xml:space="preserve">Biometrika</w:t>
      </w:r>
      <w:r>
        <w:t xml:space="preserve"> </w:t>
      </w:r>
      <w:r>
        <w:t xml:space="preserve">33 (3): 183–212.</w:t>
      </w:r>
      <w:r>
        <w:t xml:space="preserve"> </w:t>
      </w:r>
      <w:hyperlink r:id="rId96">
        <w:r>
          <w:rPr>
            <w:rStyle w:val="Hyperlink"/>
          </w:rPr>
          <w:t xml:space="preserve">https://doi.org/bskdps</w:t>
        </w:r>
      </w:hyperlink>
      <w:r>
        <w:t xml:space="preserve">.</w:t>
      </w:r>
    </w:p>
    <w:bookmarkEnd w:id="97"/>
    <w:bookmarkStart w:id="99" w:name="ref-liebmanManyLittleHammers1997"/>
    <w:p>
      <w:pPr>
        <w:pStyle w:val="Bibliography"/>
      </w:pPr>
      <w:r>
        <w:t xml:space="preserve">Liebman, Matt, and Eric R. Gallandt. 1997.</w:t>
      </w:r>
      <w:r>
        <w:t xml:space="preserve"> </w:t>
      </w:r>
      <w:r>
        <w:t xml:space="preserve">“Many Little Hammers:</w:t>
      </w:r>
      <w:r>
        <w:t xml:space="preserve"> </w:t>
      </w:r>
      <w:r>
        <w:t xml:space="preserve">Ecological</w:t>
      </w:r>
      <w:r>
        <w:t xml:space="preserve"> </w:t>
      </w:r>
      <w:r>
        <w:t xml:space="preserve">Management of Crop-Weed Interactions.”</w:t>
      </w:r>
      <w:r>
        <w:t xml:space="preserve"> </w:t>
      </w:r>
      <w:r>
        <w:t xml:space="preserve">In</w:t>
      </w:r>
      <w:r>
        <w:t xml:space="preserve"> </w:t>
      </w:r>
      <w:r>
        <w:rPr>
          <w:iCs/>
          <w:i/>
        </w:rPr>
        <w:t xml:space="preserve">Ecology in</w:t>
      </w:r>
      <w:r>
        <w:rPr>
          <w:iCs/>
          <w:i/>
        </w:rPr>
        <w:t xml:space="preserve"> </w:t>
      </w:r>
      <w:r>
        <w:rPr>
          <w:iCs/>
          <w:i/>
        </w:rPr>
        <w:t xml:space="preserve">Agriculture</w:t>
      </w:r>
      <w:r>
        <w:t xml:space="preserve">, edited by Louise E. Jackson, 291–343. Physiological</w:t>
      </w:r>
      <w:r>
        <w:t xml:space="preserve"> </w:t>
      </w:r>
      <w:r>
        <w:t xml:space="preserve">Ecology</w:t>
      </w:r>
      <w:r>
        <w:t xml:space="preserve">.</w:t>
      </w:r>
      <w:r>
        <w:t xml:space="preserve"> </w:t>
      </w:r>
      <w:r>
        <w:t xml:space="preserve">Academic Press</w:t>
      </w:r>
      <w:r>
        <w:t xml:space="preserve">.</w:t>
      </w:r>
      <w:r>
        <w:t xml:space="preserve"> </w:t>
      </w:r>
      <w:hyperlink r:id="rId98">
        <w:r>
          <w:rPr>
            <w:rStyle w:val="Hyperlink"/>
          </w:rPr>
          <w:t xml:space="preserve">https://doi.org/10.1016/B978-012378260-1/50010-5</w:t>
        </w:r>
      </w:hyperlink>
      <w:r>
        <w:t xml:space="preserve">.</w:t>
      </w:r>
    </w:p>
    <w:bookmarkEnd w:id="99"/>
    <w:bookmarkStart w:id="101" w:name="ref-menalledEffectsCompostedSwine2005"/>
    <w:p>
      <w:pPr>
        <w:pStyle w:val="Bibliography"/>
      </w:pPr>
      <w:r>
        <w:t xml:space="preserve">Menalled, Fabián D., Keith A. Kohler, Douglas D. Buhler, and Matt Liebman. 2005.</w:t>
      </w:r>
      <w:r>
        <w:t xml:space="preserve"> </w:t>
      </w:r>
      <w:r>
        <w:t xml:space="preserve">“Effects of Composted Swine Manure on Weed Seedbank.”</w:t>
      </w:r>
      <w:r>
        <w:t xml:space="preserve"> </w:t>
      </w:r>
      <w:r>
        <w:rPr>
          <w:iCs/>
          <w:i/>
        </w:rPr>
        <w:t xml:space="preserve">Agriculture, Ecosystems &amp; Environment</w:t>
      </w:r>
      <w:r>
        <w:t xml:space="preserve"> </w:t>
      </w:r>
      <w:r>
        <w:t xml:space="preserve">111 (1): 63–69.</w:t>
      </w:r>
      <w:r>
        <w:t xml:space="preserve"> </w:t>
      </w:r>
      <w:hyperlink r:id="rId100">
        <w:r>
          <w:rPr>
            <w:rStyle w:val="Hyperlink"/>
          </w:rPr>
          <w:t xml:space="preserve">https://doi.org/c3x6zk</w:t>
        </w:r>
      </w:hyperlink>
      <w:r>
        <w:t xml:space="preserve">.</w:t>
      </w:r>
    </w:p>
    <w:bookmarkEnd w:id="101"/>
    <w:bookmarkStart w:id="103" w:name="ref-nguyenImpactCroppingSystem2022"/>
    <w:p>
      <w:pPr>
        <w:pStyle w:val="Bibliography"/>
      </w:pPr>
      <w:r>
        <w:t xml:space="preserve">Nguyen, Huong T. X., and Matt Liebman. 2022a.</w:t>
      </w:r>
      <w:r>
        <w:t xml:space="preserve"> </w:t>
      </w:r>
      <w:r>
        <w:t xml:space="preserve">“Impact of Cropping System Diversification on Vegetative and Reproductive Characteristics of Waterhemp (</w:t>
      </w:r>
      <w:r>
        <w:rPr>
          <w:iCs/>
          <w:i/>
        </w:rPr>
        <w:t xml:space="preserve">A. Tuberculatus</w:t>
      </w:r>
      <w:r>
        <w:t xml:space="preserve">).”</w:t>
      </w:r>
      <w:r>
        <w:t xml:space="preserve"> </w:t>
      </w:r>
      <w:r>
        <w:rPr>
          <w:iCs/>
          <w:i/>
        </w:rPr>
        <w:t xml:space="preserve">Frontiers in Agronomy</w:t>
      </w:r>
      <w:r>
        <w:t xml:space="preserve"> </w:t>
      </w:r>
      <w:r>
        <w:t xml:space="preserve">4.</w:t>
      </w:r>
      <w:r>
        <w:t xml:space="preserve"> </w:t>
      </w:r>
      <w:hyperlink r:id="rId102">
        <w:r>
          <w:rPr>
            <w:rStyle w:val="Hyperlink"/>
          </w:rPr>
          <w:t xml:space="preserve">https://doi.org/gpsrmj</w:t>
        </w:r>
      </w:hyperlink>
      <w:r>
        <w:t xml:space="preserve">.</w:t>
      </w:r>
    </w:p>
    <w:bookmarkEnd w:id="103"/>
    <w:bookmarkStart w:id="105" w:name="ref-nguyenWeedCommunityComposition2022"/>
    <w:p>
      <w:pPr>
        <w:pStyle w:val="Bibliography"/>
      </w:pPr>
      <w:r>
        <w:t xml:space="preserve">———. 2022b.</w:t>
      </w:r>
      <w:r>
        <w:t xml:space="preserve"> </w:t>
      </w:r>
      <w:r>
        <w:t xml:space="preserve">“Weed Community Composition in Simple and More Diverse Cropping Systems.”</w:t>
      </w:r>
      <w:r>
        <w:t xml:space="preserve"> </w:t>
      </w:r>
      <w:r>
        <w:rPr>
          <w:iCs/>
          <w:i/>
        </w:rPr>
        <w:t xml:space="preserve">Front. Agron.</w:t>
      </w:r>
      <w:r>
        <w:t xml:space="preserve"> </w:t>
      </w:r>
      <w:hyperlink r:id="rId104">
        <w:r>
          <w:rPr>
            <w:rStyle w:val="Hyperlink"/>
          </w:rPr>
          <w:t xml:space="preserve">https://doi.org/gpsrmk</w:t>
        </w:r>
      </w:hyperlink>
      <w:r>
        <w:t xml:space="preserve">.</w:t>
      </w:r>
    </w:p>
    <w:bookmarkEnd w:id="105"/>
    <w:bookmarkStart w:id="107" w:name="ref-nordbyInfluenceCornCommon2004"/>
    <w:p>
      <w:pPr>
        <w:pStyle w:val="Bibliography"/>
      </w:pPr>
      <w:r>
        <w:t xml:space="preserve">Nordby, Dawn E., and Robert G. Hartzler. 2004.</w:t>
      </w:r>
      <w:r>
        <w:t xml:space="preserve"> </w:t>
      </w:r>
      <w:r>
        <w:t xml:space="preserve">“Influence of Corn on Common Waterhemp (</w:t>
      </w:r>
      <w:r>
        <w:rPr>
          <w:iCs/>
          <w:i/>
        </w:rPr>
        <w:t xml:space="preserve">Amaranthus Rudis</w:t>
      </w:r>
      <w:r>
        <w:t xml:space="preserve">) Growth and Fecundity.”</w:t>
      </w:r>
      <w:r>
        <w:t xml:space="preserve"> </w:t>
      </w:r>
      <w:r>
        <w:rPr>
          <w:iCs/>
          <w:i/>
        </w:rPr>
        <w:t xml:space="preserve">Weed Science</w:t>
      </w:r>
      <w:r>
        <w:t xml:space="preserve"> </w:t>
      </w:r>
      <w:r>
        <w:t xml:space="preserve">52 (2): 255–59.</w:t>
      </w:r>
      <w:r>
        <w:t xml:space="preserve"> </w:t>
      </w:r>
      <w:hyperlink r:id="rId106">
        <w:r>
          <w:rPr>
            <w:rStyle w:val="Hyperlink"/>
          </w:rPr>
          <w:t xml:space="preserve">https://doi.org/10.1614/WS-03-060R</w:t>
        </w:r>
      </w:hyperlink>
      <w:r>
        <w:t xml:space="preserve">.</w:t>
      </w:r>
    </w:p>
    <w:bookmarkEnd w:id="107"/>
    <w:bookmarkStart w:id="108" w:name="X2f09e2554680219c64dcb0fd3d04414c138691b"/>
    <w:p>
      <w:pPr>
        <w:pStyle w:val="Bibliography"/>
      </w:pPr>
      <w:r>
        <w:t xml:space="preserve">R Development Core Team. 2022.</w:t>
      </w:r>
      <w:r>
        <w:t xml:space="preserve"> </w:t>
      </w:r>
      <w:r>
        <w:t xml:space="preserve">“R:</w:t>
      </w:r>
      <w:r>
        <w:t xml:space="preserve"> </w:t>
      </w:r>
      <w:r>
        <w:t xml:space="preserve">A</w:t>
      </w:r>
      <w:r>
        <w:t xml:space="preserve"> </w:t>
      </w:r>
      <w:r>
        <w:t xml:space="preserve">Language and Environment for Statistical Computing.”</w:t>
      </w:r>
      <w:r>
        <w:t xml:space="preserve"> </w:t>
      </w:r>
      <w:r>
        <w:t xml:space="preserve">Vienna, Austria</w:t>
      </w:r>
      <w:r>
        <w:t xml:space="preserve">: R Foundation for Statistical Computing.</w:t>
      </w:r>
    </w:p>
    <w:bookmarkEnd w:id="108"/>
    <w:bookmarkStart w:id="110" w:name="X20240579b881d384f3b943bb8fff62476a4edad"/>
    <w:p>
      <w:pPr>
        <w:pStyle w:val="Bibliography"/>
      </w:pPr>
      <w:r>
        <w:t xml:space="preserve">Rasmussen, J. J., P. Wiberg-Larsen, A. Baattrup-Pedersen, N. Cedergreen, U. S. McKnight, J. Kreuger, D. Jacobsen, E. A. Kristensen, and N. Friberg. 2015.</w:t>
      </w:r>
      <w:r>
        <w:t xml:space="preserve"> </w:t>
      </w:r>
      <w:r>
        <w:t xml:space="preserve">“The Legacy of Pesticide Pollution:</w:t>
      </w:r>
      <w:r>
        <w:t xml:space="preserve"> </w:t>
      </w:r>
      <w:r>
        <w:t xml:space="preserve">An</w:t>
      </w:r>
      <w:r>
        <w:t xml:space="preserve"> </w:t>
      </w:r>
      <w:r>
        <w:t xml:space="preserve">Overlooked Factor in Current Risk Assessments of Freshwater Systems.”</w:t>
      </w:r>
      <w:r>
        <w:t xml:space="preserve"> </w:t>
      </w:r>
      <w:r>
        <w:rPr>
          <w:iCs/>
          <w:i/>
        </w:rPr>
        <w:t xml:space="preserve">Water Res.</w:t>
      </w:r>
      <w:r>
        <w:t xml:space="preserve"> </w:t>
      </w:r>
      <w:r>
        <w:t xml:space="preserve">84: 25.</w:t>
      </w:r>
      <w:r>
        <w:t xml:space="preserve"> </w:t>
      </w:r>
      <w:hyperlink r:id="rId109">
        <w:r>
          <w:rPr>
            <w:rStyle w:val="Hyperlink"/>
          </w:rPr>
          <w:t xml:space="preserve">https://doi.org/f3p366</w:t>
        </w:r>
      </w:hyperlink>
      <w:r>
        <w:t xml:space="preserve">.</w:t>
      </w:r>
    </w:p>
    <w:bookmarkEnd w:id="110"/>
    <w:bookmarkStart w:id="112" w:name="Xfccd3252c873b31fa4c42ed0514a224f6f1d493"/>
    <w:p>
      <w:pPr>
        <w:pStyle w:val="Bibliography"/>
      </w:pPr>
      <w:r>
        <w:t xml:space="preserve">Sosnoskie, Lynn M., Theodore M. Webster, and A. Stanley Culpepper. 2013.</w:t>
      </w:r>
      <w:r>
        <w:t xml:space="preserve"> </w:t>
      </w:r>
      <w:r>
        <w:t xml:space="preserve">“Glyphosate Resistance Does Not Affect</w:t>
      </w:r>
      <w:r>
        <w:t xml:space="preserve"> </w:t>
      </w:r>
      <w:r>
        <w:t xml:space="preserve">Palmer</w:t>
      </w:r>
      <w:r>
        <w:t xml:space="preserve"> </w:t>
      </w:r>
      <w:r>
        <w:t xml:space="preserve">Amaranth (</w:t>
      </w:r>
      <w:r>
        <w:t xml:space="preserve">Amaranthus</w:t>
      </w:r>
      <w:r>
        <w:t xml:space="preserve"> </w:t>
      </w:r>
      <w:r>
        <w:t xml:space="preserve">Palmeri) Seedbank Longevity.”</w:t>
      </w:r>
      <w:r>
        <w:t xml:space="preserve"> </w:t>
      </w:r>
      <w:r>
        <w:rPr>
          <w:iCs/>
          <w:i/>
        </w:rPr>
        <w:t xml:space="preserve">Weed Science</w:t>
      </w:r>
      <w:r>
        <w:t xml:space="preserve"> </w:t>
      </w:r>
      <w:r>
        <w:t xml:space="preserve">61 (2): 283–88.</w:t>
      </w:r>
      <w:r>
        <w:t xml:space="preserve"> </w:t>
      </w:r>
      <w:hyperlink r:id="rId111">
        <w:r>
          <w:rPr>
            <w:rStyle w:val="Hyperlink"/>
          </w:rPr>
          <w:t xml:space="preserve">https://doi.org/f4vgfs</w:t>
        </w:r>
      </w:hyperlink>
      <w:r>
        <w:t xml:space="preserve">.</w:t>
      </w:r>
    </w:p>
    <w:bookmarkEnd w:id="112"/>
    <w:bookmarkStart w:id="114" w:name="ref-spokasSeedChaserVerticalSoil2007"/>
    <w:p>
      <w:pPr>
        <w:pStyle w:val="Bibliography"/>
      </w:pPr>
      <w:r>
        <w:t xml:space="preserve">Spokas, K., F. Forcella, D. Archer, and D. Reicosky. 2007.</w:t>
      </w:r>
      <w:r>
        <w:t xml:space="preserve"> </w:t>
      </w:r>
      <w:r>
        <w:t xml:space="preserve">“</w:t>
      </w:r>
      <w:r>
        <w:t xml:space="preserve">SeedChaser</w:t>
      </w:r>
      <w:r>
        <w:t xml:space="preserve">:</w:t>
      </w:r>
      <w:r>
        <w:t xml:space="preserve"> </w:t>
      </w:r>
      <w:r>
        <w:t xml:space="preserve">Vertical</w:t>
      </w:r>
      <w:r>
        <w:t xml:space="preserve"> </w:t>
      </w:r>
      <w:r>
        <w:t xml:space="preserve">Soil Tillage Distribution Model.”</w:t>
      </w:r>
      <w:r>
        <w:t xml:space="preserve"> </w:t>
      </w:r>
      <w:r>
        <w:rPr>
          <w:iCs/>
          <w:i/>
        </w:rPr>
        <w:t xml:space="preserve">Computers and Electronics in Agriculture</w:t>
      </w:r>
      <w:r>
        <w:t xml:space="preserve"> </w:t>
      </w:r>
      <w:r>
        <w:t xml:space="preserve">57 (1): 62–73.</w:t>
      </w:r>
      <w:r>
        <w:t xml:space="preserve"> </w:t>
      </w:r>
      <w:hyperlink r:id="rId113">
        <w:r>
          <w:rPr>
            <w:rStyle w:val="Hyperlink"/>
          </w:rPr>
          <w:t xml:space="preserve">https://doi.org/dzh845</w:t>
        </w:r>
      </w:hyperlink>
      <w:r>
        <w:t xml:space="preserve">.</w:t>
      </w:r>
    </w:p>
    <w:bookmarkEnd w:id="114"/>
    <w:bookmarkStart w:id="116" w:name="ref-steckelTillageCroppingSystem2007"/>
    <w:p>
      <w:pPr>
        <w:pStyle w:val="Bibliography"/>
      </w:pPr>
      <w:r>
        <w:t xml:space="preserve">Steckel, Lawrence E., Christy L. Sprague, Edward W. Stoller, Loyd M. Wax, and F. William Simmons. 2007.</w:t>
      </w:r>
      <w:r>
        <w:t xml:space="preserve"> </w:t>
      </w:r>
      <w:r>
        <w:t xml:space="preserve">“Tillage, Cropping System, and Soil Depth Effects on Common Waterhemp (</w:t>
      </w:r>
      <w:r>
        <w:t xml:space="preserve">Amaranthus</w:t>
      </w:r>
      <w:r>
        <w:t xml:space="preserve"> </w:t>
      </w:r>
      <w:r>
        <w:t xml:space="preserve">Rudis) Seed-Bank Persistence.”</w:t>
      </w:r>
      <w:r>
        <w:t xml:space="preserve"> </w:t>
      </w:r>
      <w:r>
        <w:rPr>
          <w:iCs/>
          <w:i/>
        </w:rPr>
        <w:t xml:space="preserve">Weed Science</w:t>
      </w:r>
      <w:r>
        <w:t xml:space="preserve"> </w:t>
      </w:r>
      <w:r>
        <w:t xml:space="preserve">55 (3): 235–39.</w:t>
      </w:r>
      <w:r>
        <w:t xml:space="preserve"> </w:t>
      </w:r>
      <w:hyperlink r:id="rId115">
        <w:r>
          <w:rPr>
            <w:rStyle w:val="Hyperlink"/>
          </w:rPr>
          <w:t xml:space="preserve">https://doi.org/bhs6vt</w:t>
        </w:r>
      </w:hyperlink>
      <w:r>
        <w:t xml:space="preserve">.</w:t>
      </w:r>
    </w:p>
    <w:bookmarkEnd w:id="116"/>
    <w:bookmarkStart w:id="117" w:name="ref-stubbenPopbioConstructionAnalyse2020"/>
    <w:p>
      <w:pPr>
        <w:pStyle w:val="Bibliography"/>
      </w:pPr>
      <w:r>
        <w:t xml:space="preserve">Stubben, Chris, Brook Milligan, and Patrick Nantel. 2020.</w:t>
      </w:r>
      <w:r>
        <w:t xml:space="preserve"> </w:t>
      </w:r>
      <w:r>
        <w:t xml:space="preserve">“Popbio:</w:t>
      </w:r>
      <w:r>
        <w:t xml:space="preserve"> </w:t>
      </w:r>
      <w:r>
        <w:t xml:space="preserve">Construction</w:t>
      </w:r>
      <w:r>
        <w:t xml:space="preserve"> </w:t>
      </w:r>
      <w:r>
        <w:t xml:space="preserve">and Analyse and of Matrix Models.”</w:t>
      </w:r>
    </w:p>
    <w:bookmarkEnd w:id="117"/>
    <w:bookmarkStart w:id="118" w:name="ref-ullrichWeedPopulationDynamics2000"/>
    <w:p>
      <w:pPr>
        <w:pStyle w:val="Bibliography"/>
      </w:pPr>
      <w:r>
        <w:t xml:space="preserve">Ullrich, Silke. 2000.</w:t>
      </w:r>
      <w:r>
        <w:t xml:space="preserve"> </w:t>
      </w:r>
      <w:r>
        <w:t xml:space="preserve">“Weed Population Dynamics in Potato Cropping Systems as Affected by Rotation Crop, Cultivation, and Primary Tillage.”</w:t>
      </w:r>
      <w:r>
        <w:t xml:space="preserve"> </w:t>
      </w:r>
      <w:r>
        <w:t xml:space="preserve">PhD thesis, The University of Maine.</w:t>
      </w:r>
    </w:p>
    <w:bookmarkEnd w:id="118"/>
    <w:bookmarkStart w:id="120" w:name="ref-werlePredictingEmergence232014"/>
    <w:p>
      <w:pPr>
        <w:pStyle w:val="Bibliography"/>
      </w:pPr>
      <w:r>
        <w:t xml:space="preserve">Werle, Rodrigo, Lowell D. Sandell, Douglas D. Buhler, Robert G. Hartzler, and John L. Lindquist. 2014.</w:t>
      </w:r>
      <w:r>
        <w:t xml:space="preserve"> </w:t>
      </w:r>
      <w:r>
        <w:t xml:space="preserve">“Predicting Emergence of 23 Summer Annual Weed Species.”</w:t>
      </w:r>
      <w:r>
        <w:t xml:space="preserve"> </w:t>
      </w:r>
      <w:r>
        <w:rPr>
          <w:iCs/>
          <w:i/>
        </w:rPr>
        <w:t xml:space="preserve">Weed Science</w:t>
      </w:r>
      <w:r>
        <w:t xml:space="preserve"> </w:t>
      </w:r>
      <w:r>
        <w:t xml:space="preserve">62 (2): 267–79.</w:t>
      </w:r>
      <w:r>
        <w:t xml:space="preserve"> </w:t>
      </w:r>
      <w:hyperlink r:id="rId119">
        <w:r>
          <w:rPr>
            <w:rStyle w:val="Hyperlink"/>
          </w:rPr>
          <w:t xml:space="preserve">https://doi.org/f5z7zc</w:t>
        </w:r>
      </w:hyperlink>
      <w:r>
        <w:t xml:space="preserve">.</w:t>
      </w:r>
    </w:p>
    <w:bookmarkEnd w:id="120"/>
    <w:bookmarkStart w:id="121" w:name="ref-yenishEffectsTillageVertical1992"/>
    <w:p>
      <w:pPr>
        <w:pStyle w:val="Bibliography"/>
      </w:pPr>
      <w:r>
        <w:t xml:space="preserve">Yenish, Joseph P., Jerry D. Doll, and Douglas D. Buhler. 1992.</w:t>
      </w:r>
      <w:r>
        <w:t xml:space="preserve"> </w:t>
      </w:r>
      <w:r>
        <w:t xml:space="preserve">“Effects of Tillage on Vertical Distribution and Viability of Weed Seed in Soil.”</w:t>
      </w:r>
      <w:r>
        <w:t xml:space="preserve"> </w:t>
      </w:r>
      <w:r>
        <w:rPr>
          <w:iCs/>
          <w:i/>
        </w:rPr>
        <w:t xml:space="preserve">Weed Science</w:t>
      </w:r>
      <w:r>
        <w:t xml:space="preserve"> </w:t>
      </w:r>
      <w:r>
        <w:t xml:space="preserve">40 (3): 429–33.</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hyperlink" Id="rId98" Target="https://doi.org/10.1016/B978-012378260-1/50010-5" TargetMode="External" /><Relationship Type="http://schemas.openxmlformats.org/officeDocument/2006/relationships/hyperlink" Id="rId78" Target="https://doi.org/10.1017/CBO9780511608629" TargetMode="External" /><Relationship Type="http://schemas.openxmlformats.org/officeDocument/2006/relationships/hyperlink" Id="rId106" Target="https://doi.org/10.1614/WS-03-060R" TargetMode="External" /><Relationship Type="http://schemas.openxmlformats.org/officeDocument/2006/relationships/hyperlink" Id="rId82" Target="https://doi.org/10.31274/rtd-180814-161" TargetMode="External" /><Relationship Type="http://schemas.openxmlformats.org/officeDocument/2006/relationships/hyperlink" Id="rId115" Target="https://doi.org/bhs6vt" TargetMode="External" /><Relationship Type="http://schemas.openxmlformats.org/officeDocument/2006/relationships/hyperlink" Id="rId80" Target="https://doi.org/bmncpf" TargetMode="External" /><Relationship Type="http://schemas.openxmlformats.org/officeDocument/2006/relationships/hyperlink" Id="rId96" Target="https://doi.org/bskdps" TargetMode="External" /><Relationship Type="http://schemas.openxmlformats.org/officeDocument/2006/relationships/hyperlink" Id="rId86" Target="https://doi.org/bxq7q8" TargetMode="External" /><Relationship Type="http://schemas.openxmlformats.org/officeDocument/2006/relationships/hyperlink" Id="rId100" Target="https://doi.org/c3x6zk" TargetMode="External" /><Relationship Type="http://schemas.openxmlformats.org/officeDocument/2006/relationships/hyperlink" Id="rId74" Target="https://doi.org/cbjqq5" TargetMode="External" /><Relationship Type="http://schemas.openxmlformats.org/officeDocument/2006/relationships/hyperlink" Id="rId88" Target="https://doi.org/cdzbdn" TargetMode="External" /><Relationship Type="http://schemas.openxmlformats.org/officeDocument/2006/relationships/hyperlink" Id="rId92" Target="https://doi.org/cmhpxk" TargetMode="External" /><Relationship Type="http://schemas.openxmlformats.org/officeDocument/2006/relationships/hyperlink" Id="rId76" Target="https://doi.org/d824tt" TargetMode="External" /><Relationship Type="http://schemas.openxmlformats.org/officeDocument/2006/relationships/hyperlink" Id="rId68" Target="https://doi.org/d8wnfq" TargetMode="External" /><Relationship Type="http://schemas.openxmlformats.org/officeDocument/2006/relationships/hyperlink" Id="rId70" Target="https://doi.org/dmnt6f" TargetMode="External" /><Relationship Type="http://schemas.openxmlformats.org/officeDocument/2006/relationships/hyperlink" Id="rId84" Target="https://doi.org/dmvcdf" TargetMode="External" /><Relationship Type="http://schemas.openxmlformats.org/officeDocument/2006/relationships/hyperlink" Id="rId113" Target="https://doi.org/dzh845" TargetMode="External" /><Relationship Type="http://schemas.openxmlformats.org/officeDocument/2006/relationships/hyperlink" Id="rId109" Target="https://doi.org/f3p366" TargetMode="External" /><Relationship Type="http://schemas.openxmlformats.org/officeDocument/2006/relationships/hyperlink" Id="rId111" Target="https://doi.org/f4vgfs" TargetMode="External" /><Relationship Type="http://schemas.openxmlformats.org/officeDocument/2006/relationships/hyperlink" Id="rId66" Target="https://doi.org/f5c394" TargetMode="External" /><Relationship Type="http://schemas.openxmlformats.org/officeDocument/2006/relationships/hyperlink" Id="rId119" Target="https://doi.org/f5z7zc" TargetMode="External" /><Relationship Type="http://schemas.openxmlformats.org/officeDocument/2006/relationships/hyperlink" Id="rId90" Target="https://doi.org/f8t6nh" TargetMode="External" /><Relationship Type="http://schemas.openxmlformats.org/officeDocument/2006/relationships/hyperlink" Id="rId94" Target="https://doi.org/gd2hgf" TargetMode="External" /><Relationship Type="http://schemas.openxmlformats.org/officeDocument/2006/relationships/hyperlink" Id="rId102" Target="https://doi.org/gpsrmj" TargetMode="External" /><Relationship Type="http://schemas.openxmlformats.org/officeDocument/2006/relationships/hyperlink" Id="rId104" Target="https://doi.org/gpsrmk"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16/B978-012378260-1/50010-5" TargetMode="External" /><Relationship Type="http://schemas.openxmlformats.org/officeDocument/2006/relationships/hyperlink" Id="rId78" Target="https://doi.org/10.1017/CBO9780511608629" TargetMode="External" /><Relationship Type="http://schemas.openxmlformats.org/officeDocument/2006/relationships/hyperlink" Id="rId106" Target="https://doi.org/10.1614/WS-03-060R" TargetMode="External" /><Relationship Type="http://schemas.openxmlformats.org/officeDocument/2006/relationships/hyperlink" Id="rId82" Target="https://doi.org/10.31274/rtd-180814-161" TargetMode="External" /><Relationship Type="http://schemas.openxmlformats.org/officeDocument/2006/relationships/hyperlink" Id="rId115" Target="https://doi.org/bhs6vt" TargetMode="External" /><Relationship Type="http://schemas.openxmlformats.org/officeDocument/2006/relationships/hyperlink" Id="rId80" Target="https://doi.org/bmncpf" TargetMode="External" /><Relationship Type="http://schemas.openxmlformats.org/officeDocument/2006/relationships/hyperlink" Id="rId96" Target="https://doi.org/bskdps" TargetMode="External" /><Relationship Type="http://schemas.openxmlformats.org/officeDocument/2006/relationships/hyperlink" Id="rId86" Target="https://doi.org/bxq7q8" TargetMode="External" /><Relationship Type="http://schemas.openxmlformats.org/officeDocument/2006/relationships/hyperlink" Id="rId100" Target="https://doi.org/c3x6zk" TargetMode="External" /><Relationship Type="http://schemas.openxmlformats.org/officeDocument/2006/relationships/hyperlink" Id="rId74" Target="https://doi.org/cbjqq5" TargetMode="External" /><Relationship Type="http://schemas.openxmlformats.org/officeDocument/2006/relationships/hyperlink" Id="rId88" Target="https://doi.org/cdzbdn" TargetMode="External" /><Relationship Type="http://schemas.openxmlformats.org/officeDocument/2006/relationships/hyperlink" Id="rId92" Target="https://doi.org/cmhpxk" TargetMode="External" /><Relationship Type="http://schemas.openxmlformats.org/officeDocument/2006/relationships/hyperlink" Id="rId76" Target="https://doi.org/d824tt" TargetMode="External" /><Relationship Type="http://schemas.openxmlformats.org/officeDocument/2006/relationships/hyperlink" Id="rId68" Target="https://doi.org/d8wnfq" TargetMode="External" /><Relationship Type="http://schemas.openxmlformats.org/officeDocument/2006/relationships/hyperlink" Id="rId70" Target="https://doi.org/dmnt6f" TargetMode="External" /><Relationship Type="http://schemas.openxmlformats.org/officeDocument/2006/relationships/hyperlink" Id="rId84" Target="https://doi.org/dmvcdf" TargetMode="External" /><Relationship Type="http://schemas.openxmlformats.org/officeDocument/2006/relationships/hyperlink" Id="rId113" Target="https://doi.org/dzh845" TargetMode="External" /><Relationship Type="http://schemas.openxmlformats.org/officeDocument/2006/relationships/hyperlink" Id="rId109" Target="https://doi.org/f3p366" TargetMode="External" /><Relationship Type="http://schemas.openxmlformats.org/officeDocument/2006/relationships/hyperlink" Id="rId111" Target="https://doi.org/f4vgfs" TargetMode="External" /><Relationship Type="http://schemas.openxmlformats.org/officeDocument/2006/relationships/hyperlink" Id="rId66" Target="https://doi.org/f5c394" TargetMode="External" /><Relationship Type="http://schemas.openxmlformats.org/officeDocument/2006/relationships/hyperlink" Id="rId119" Target="https://doi.org/f5z7zc" TargetMode="External" /><Relationship Type="http://schemas.openxmlformats.org/officeDocument/2006/relationships/hyperlink" Id="rId90" Target="https://doi.org/f8t6nh" TargetMode="External" /><Relationship Type="http://schemas.openxmlformats.org/officeDocument/2006/relationships/hyperlink" Id="rId94" Target="https://doi.org/gd2hgf" TargetMode="External" /><Relationship Type="http://schemas.openxmlformats.org/officeDocument/2006/relationships/hyperlink" Id="rId102" Target="https://doi.org/gpsrmj" TargetMode="External" /><Relationship Type="http://schemas.openxmlformats.org/officeDocument/2006/relationships/hyperlink" Id="rId104" Target="https://doi.org/gpsrm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2022-06-03T03:05:34Z</dcterms:created>
  <dcterms:modified xsi:type="dcterms:W3CDTF">2022-06-03T03:05:34Z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prospective-pop-dynamics.bib</vt:lpwstr>
  </property>
  <property fmtid="{D5CDD505-2E9C-101B-9397-08002B2CF9AE}" pid="3" name="output">
    <vt:lpwstr/>
  </property>
</Properties>
</file>