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3.png" ContentType="image/png"/>
  <Override PartName="/word/media/rId61.png" ContentType="image/png"/>
  <Override PartName="/word/media/rId58.png" ContentType="image/png"/>
  <Override PartName="/word/media/rId67.png" ContentType="image/png"/>
  <Override PartName="/word/media/rId64.png" ContentType="image/png"/>
  <Override PartName="/word/media/rId48.png" ContentType="image/png"/>
  <Override PartName="/word/media/rId73.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A</w:t>
      </w:r>
      <w:r>
        <w:t xml:space="preserve"> </w:t>
      </w:r>
      <w:r>
        <w:t xml:space="preserve">prospective</w:t>
      </w:r>
      <w:r>
        <w:t xml:space="preserve"> </w:t>
      </w:r>
      <w:r>
        <w:t xml:space="preserve">and</w:t>
      </w:r>
      <w:r>
        <w:t xml:space="preserve"> </w:t>
      </w:r>
      <w:r>
        <w:t xml:space="preserve">retrospective</w:t>
      </w:r>
      <w:r>
        <w:t xml:space="preserve"> </w:t>
      </w:r>
      <w:r>
        <w:t xml:space="preserve">analysis</w:t>
      </w:r>
    </w:p>
    <w:bookmarkStart w:id="20" w:name="introduction"/>
    <w:p>
      <w:pPr>
        <w:pStyle w:val="Heading1"/>
      </w:pPr>
      <w:r>
        <w:t xml:space="preserve">Introduction</w:t>
      </w:r>
    </w:p>
    <w:p>
      <w:pPr>
        <w:pStyle w:val="FirstParagraph"/>
      </w:pPr>
      <w:r>
        <w:t xml:space="preserve">In arable land, a low-density seedbank is highly desired. A weed species’ seedbank persistence is often influenced by multiple factors, such as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 [heneghanGrowthDevelopmentFive2017],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affluent seedbank</w:t>
      </w:r>
      <w:r>
        <w:t xml:space="preserve"> </w:t>
      </w:r>
      <w:r>
        <w:t xml:space="preserve">(Davis, 2008; Korres et al., 2018)</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seedling emergence as compared with three other interseeding and tillage timing combinations by fall tillage</w:t>
      </w:r>
      <w:r>
        <w:t xml:space="preserve"> </w:t>
      </w:r>
      <w:r>
        <w:t xml:space="preserve">(Davis and Liebman, 2003)</w:t>
      </w:r>
      <w:r>
        <w:t xml:space="preserve">. A heuristic model for common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rye (</w:t>
      </w:r>
      <w:r>
        <w:rPr>
          <w:iCs/>
          <w:i/>
        </w:rPr>
        <w:t xml:space="preserve">Secale cereale</w:t>
      </w:r>
      <w:r>
        <w:t xml:space="preserve"> </w:t>
      </w:r>
      <w:r>
        <w:t xml:space="preserve">L.) cover crop in between the corn and soybean phases concluded that rye cover crop could provide minimal suppression against common waterhemp abundance and the minimum chemical herbicide efficacy was required above 99% to keep the waterhemp population from growing.</w:t>
      </w:r>
    </w:p>
    <w:p>
      <w:pPr>
        <w:pStyle w:val="BodyText"/>
      </w:pPr>
      <w:r>
        <w:t xml:space="preserve">Our exhaustive search of the current literature did not return any information on waterhemp’s population dynamics in other cool-season crops so we measured the following characteristics of waterhemp in oat (</w:t>
      </w:r>
      <w:r>
        <w:rPr>
          <w:iCs/>
          <w:i/>
        </w:rPr>
        <w:t xml:space="preserve">Avena sativa</w:t>
      </w:r>
      <w:r>
        <w:t xml:space="preserve"> </w:t>
      </w:r>
      <w:r>
        <w:t xml:space="preserve">L.) intercroped with red clover, oat intercropped with alfalfa (</w:t>
      </w:r>
      <w:r>
        <w:rPr>
          <w:iCs/>
          <w:i/>
        </w:rPr>
        <w:t xml:space="preserve">Medicago sativa</w:t>
      </w:r>
      <w:r>
        <w:t xml:space="preserve"> </w:t>
      </w:r>
      <w:r>
        <w:t xml:space="preserve">L.), and alfalfa environments: plant fecundity</w:t>
      </w:r>
      <w:r>
        <w:t xml:space="preserve"> </w:t>
      </w:r>
      <w:r>
        <w:t xml:space="preserve">(Nguyen and Liebman, 2022a)</w:t>
      </w:r>
      <w:r>
        <w:t xml:space="preserve">, soil seedbank density, seedling emergence and timing, and plant survival.</w:t>
      </w:r>
    </w:p>
    <w:p>
      <w:pPr>
        <w:pStyle w:val="BodyText"/>
      </w:pPr>
      <w:r>
        <w:t xml:space="preserve">Extending a conventional 2-year rotation of corn and soybean to contain oat, red clover, and alfalfa effectively maintain weed community at a level of abundance that did not coincidence with crop yield decline</w:t>
      </w:r>
      <w:r>
        <w:t xml:space="preserve"> </w:t>
      </w:r>
      <w:r>
        <w:t xml:space="preserve">(Nguyen and Liebman, 2022b)</w:t>
      </w:r>
      <w:r>
        <w:t xml:space="preserve">. The effects of cropping system diversification on common waterhemp abundance was not clearly defined</w:t>
      </w:r>
      <w:r>
        <w:t xml:space="preserve"> </w:t>
      </w:r>
      <w:r>
        <w:t xml:space="preserve">(Nguyen and Liebman, 2022b)</w:t>
      </w:r>
      <w:r>
        <w:t xml:space="preserve">, even though their reproductive potentials could be compromised without over-reliance on chemical herbicide</w:t>
      </w:r>
      <w:r>
        <w:t xml:space="preserve"> </w:t>
      </w:r>
      <w:r>
        <w:t xml:space="preserve">(Nguyen and Liebman, 2022a)</w:t>
      </w:r>
      <w:r>
        <w:t xml:space="preserve">.</w:t>
      </w:r>
    </w:p>
    <w:p>
      <w:pPr>
        <w:pStyle w:val="BodyText"/>
      </w:pPr>
      <w:r>
        <w:t xml:space="preserve">In order to increase labor use efficiency in waterhemp management, it is helpful to know possible choke points throughout waterhemp’s life cycle, where intervention can substantially reduce the population growth. Following the population in full life cycles in different crop environments can help identifies the choke points where management could be focused</w:t>
      </w:r>
      <w:r>
        <w:t xml:space="preserve"> </w:t>
      </w:r>
      <w:r>
        <w:t xml:space="preserve">(Caswell, 2001)</w:t>
      </w:r>
      <w:r>
        <w:t xml:space="preserve">. Combining demographic parameters from multiple sources and organizing them in different scenarios can provide a quick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A periodic matrix model</w:t>
      </w:r>
      <w:r>
        <w:t xml:space="preserve"> </w:t>
      </w:r>
      <w:r>
        <w:t xml:space="preserve">(Caswell, 2001; Cousens and Mortimer, 1995)</w:t>
      </w:r>
      <w:r>
        <w:t xml:space="preserve"> </w:t>
      </w:r>
      <w:r>
        <w:t xml:space="preserve">was used 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this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at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w:t>
      </w:r>
      <w:r>
        <w:t xml:space="preserve"> </w:t>
      </w:r>
      <m:oMath>
        <m:r>
          <m:t>Δ</m:t>
        </m:r>
        <m:r>
          <m:t>λ</m:t>
        </m:r>
      </m:oMath>
      <w:r>
        <w:t xml:space="preserve">, would response to proportional perturbations in the lower-level demographic parameters (represented by a sub-annual matrix</w:t>
      </w:r>
      <w:r>
        <w:t xml:space="preserve"> </w:t>
      </w:r>
      <m:oMath>
        <m:sSub>
          <m:e>
            <m:r>
              <m:t>B</m:t>
            </m:r>
          </m:e>
          <m:sub>
            <m:r>
              <m:t>h</m:t>
            </m:r>
          </m:sub>
        </m:sSub>
      </m:oMath>
      <w:r>
        <w:t xml:space="preserve">) can help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was pursued to examine how waterhemp population might changes in cool-season crops suitable for the Midwestern USA climates. The modeling exercise presented here combines demographic parameters from the literature and empirical experiments. We hypothesized that extending a conventional 2-year rotation of corn and soybean with cool-season crops can accelerate soil seedbank depletion.</w:t>
      </w:r>
    </w:p>
    <w:bookmarkEnd w:id="20"/>
    <w:bookmarkStart w:id="47" w:name="materials-and-methods"/>
    <w:p>
      <w:pPr>
        <w:pStyle w:val="Heading1"/>
      </w:pPr>
      <w:r>
        <w:t xml:space="preserve">Materials and methods</w:t>
      </w:r>
    </w:p>
    <w:bookmarkStart w:id="21" w:name="experiment-design"/>
    <w:p>
      <w:pPr>
        <w:pStyle w:val="Heading3"/>
      </w:pPr>
      <w:r>
        <w:t xml:space="preserve">Experiment design</w:t>
      </w:r>
    </w:p>
    <w:p>
      <w:pPr>
        <w:pStyle w:val="FirstParagraph"/>
      </w:pPr>
      <w:r>
        <w:t xml:space="preserve">To study how common waterhemp’s demography differ in three cropping systems suitable for the Midwestern USA, a factorial design of four replications with main-plot effect (crop identity as the combination of crop species name and rotation system) and split-plot effect (corn weed management herbicide regime) was conducted at Iowa State University Agronomy Research Farm. The rotation systems used in this present study includes 2-year (corn - soybean), 3-year (corn - soybean - oat) intercropped with red clover, and 4-year (corn - soybean - oat intercropped with alfalfa - alfalfa).</w:t>
      </w:r>
    </w:p>
    <w:p>
      <w:pPr>
        <w:pStyle w:val="BodyText"/>
      </w:pPr>
      <w:r>
        <w:t xml:space="preserve">The general experiment design and diagram were provided in</w:t>
      </w:r>
      <w:r>
        <w:t xml:space="preserve"> </w:t>
      </w:r>
      <w:r>
        <w:t xml:space="preserve">(Nguyen and Liebman, 2022a)</w:t>
      </w:r>
      <w:r>
        <w:t xml:space="preserve">, but an updated diagram (Figure</w:t>
      </w:r>
      <w:r>
        <w:t xml:space="preserve"> </w:t>
      </w:r>
      <w:r>
        <w:t xml:space="preserve">1</w:t>
      </w:r>
      <w:r>
        <w:t xml:space="preserve">) is included here to illustrate tillage regimes. Contrasting herbicide regimes have been used for both corn and soybean at the experiment site from 2008 and soybean plots were managed by only conventional herbicide starting in 2017, and thus, the data was collected by each experimental unit (eu) to accommodate the different weed management program in the corn phase of all crop rotations. Oat, red clover, and alfalfa did not receive any herbicide regardless of how weed in the corn and soybean phases were managed.</w:t>
      </w:r>
    </w:p>
    <w:p>
      <w:pPr>
        <w:pStyle w:val="BodyText"/>
      </w:pPr>
      <w:r>
        <w:t xml:space="preserve">Figure 1: Conceptual diagram of the three rotation systems compared within the experiment. A cycle of four calendar years is shown. Tillage regimes were symbolized with arrows: light, black ahead of crop sowing for field cultivator, medium, blue and bold orange after crop harvest for chisel and moldboard plough, respectively. Crops are color-coded and displayed for the approximate months that they were present.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Alfalfa’s hay was harvested when approximately 5% of the plants flowered. Red clover in O3, and A4 were terminated in the winter before growing corn in the following year, so the dark green bar in the 3-year represents volunteer red clover and the light green bar in the 4-year rotation represents the living alfalfa residue in C4.</w:t>
      </w:r>
    </w:p>
    <w:bookmarkEnd w:id="21"/>
    <w:bookmarkStart w:id="25" w:name="data-collection-and-analysis"/>
    <w:p>
      <w:pPr>
        <w:pStyle w:val="Heading3"/>
      </w:pPr>
      <w:r>
        <w:t xml:space="preserve">Data collection and analysis</w:t>
      </w:r>
    </w:p>
    <w:p>
      <w:pPr>
        <w:pStyle w:val="FirstParagraph"/>
      </w:pPr>
      <w:r>
        <w:t xml:space="preserve">The current demographic details here are presented for female only. All the plant characteristics were reported for each cohort.</w:t>
      </w:r>
    </w:p>
    <w:bookmarkStart w:id="22" w:name="Xa1c85300dfe06e14afaf988e432713c859ec4d5"/>
    <w:p>
      <w:pPr>
        <w:pStyle w:val="Heading4"/>
      </w:pPr>
      <w:r>
        <w:t xml:space="preserve">Seed densities and seed fates in the soil seedbank</w:t>
      </w:r>
    </w:p>
    <w:p>
      <w:pPr>
        <w:pStyle w:val="FirstParagraph"/>
      </w:pPr>
      <w:r>
        <w:t xml:space="preserve">Nine groups of four soil cores arranged in a 3 x 3 grid were collected in 2019 from each experimental unit (eu). Each soil core was cut into two sections, the top 2 cm and the bottom 18 cm. All the 0-2 cm sections in each (eu) were packed separately from all the 2-20 sections, so each eu yield two data points. Seeds were separated from the soil materials and plant residues with an elutriation and floatation process. Clean seeds were placed on germination paper imbibed with distilled water in Petri dishes and incubated in 28/18 degree Celsius light/dark - 18/8 hour night/day for five days. Proportions of seeds that are dormant, readily germinable, and dead were recorded: germinated as readily germinable, firm, unyielding to forceps as dormant, and yielding to forceps as dead</w:t>
      </w:r>
      <w:r>
        <w:t xml:space="preserve"> </w:t>
      </w:r>
      <w:r>
        <w:t xml:space="preserve">(Borza et al., 2007)</w:t>
      </w:r>
      <w:r>
        <w:t xml:space="preserve">. Readily germinable and dormant seeds were grouped as viable and used to calculate emergence proportion (details in</w:t>
      </w:r>
      <w:r>
        <w:t xml:space="preserve"> </w:t>
      </w:r>
      <w:r>
        <w:rPr>
          <w:iCs/>
          <w:i/>
        </w:rPr>
        <w:t xml:space="preserve">Parameterization</w:t>
      </w:r>
      <w:r>
        <w:t xml:space="preserve">).</w:t>
      </w:r>
    </w:p>
    <w:bookmarkEnd w:id="22"/>
    <w:bookmarkStart w:id="23" w:name="emergence-pattern-and-timing"/>
    <w:p>
      <w:pPr>
        <w:pStyle w:val="Heading4"/>
      </w:pPr>
      <w:r>
        <w:t xml:space="preserve">Emergence pattern and timing</w:t>
      </w:r>
    </w:p>
    <w:p>
      <w:pPr>
        <w:pStyle w:val="FirstParagraph"/>
      </w:pPr>
      <w:r>
        <w:t xml:space="preserve">In the 2019 field season, non-destructive emergence survey was recorded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 was recorded in eight quadrats per eu. Seedlings were clipped at the base of the plant without disturbing the soil. With the intention to evaluate the proportion of seed germinated from the top 2 cm layer of the soil, eight to ten cohorts (depending on the crop environments) were recorded.</w:t>
      </w:r>
    </w:p>
    <w:p>
      <w:pPr>
        <w:pStyle w:val="BodyText"/>
      </w:pPr>
      <w:r>
        <w:t xml:space="preserve">The number of seedlings at each cohort was converted to densities (seedlings/m</w:t>
      </w:r>
      <m:oMath>
        <m:sSup>
          <m:e>
            <m:r>
              <m:t>​</m:t>
            </m:r>
          </m:e>
          <m:sup>
            <m:r>
              <m:t>2</m:t>
            </m:r>
          </m:sup>
        </m:sSup>
      </m:oMath>
      <w:r>
        <w:t xml:space="preserve">). The dates of first emergence detection in each crop identity were noted.</w:t>
      </w:r>
    </w:p>
    <w:bookmarkEnd w:id="23"/>
    <w:bookmarkStart w:id="24"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mix-effect models, in which crop identity (crop species in each rotation) was the main-plot effect, corn weed management was the split-plot effect, and cohort identity was the covariance. The response variables were transformed as needed to correct heteroscedasticity.</w:t>
      </w:r>
    </w:p>
    <w:bookmarkEnd w:id="24"/>
    <w:bookmarkEnd w:id="25"/>
    <w:bookmarkStart w:id="26"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34"/>
        <w:gridCol w:w="12101"/>
        <w:gridCol w:w="28144"/>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 or justification</w:t>
            </w:r>
          </w:p>
        </w:tc>
      </w:tr>
      <w:tr>
        <w:trPr>
          <w:cantSplit/>
          <w:trHeight w:val="621"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individuals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2021</w:t>
            </w:r>
          </w:p>
        </w:tc>
      </w:tr>
      <w:tr>
        <w:trPr>
          <w:cantSplit/>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 only emerge from the 0-2cm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recommended sowing depth of 1-3 times the seed diameter (Chapter 3, FAO 1989) and AMATA seed size of 1 mm or less in diameter (Costea et al., 2005).</w:t>
            </w:r>
          </w:p>
        </w:tc>
      </w:tr>
      <w:tr>
        <w:trPr>
          <w:cantSplit/>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fatal from the 2-20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recommended sowing depth of 1-3 times the seed diameter (Chapter 3, FAO 1989) and AMATA seed size of 1 mm or less in diameter (Costea et al., 2005).</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in the soil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decay rates</w:t>
            </w:r>
          </w:p>
        </w:tc>
      </w:tr>
      <w:tr>
        <w:trPr>
          <w:cantSplit/>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and  Steckel et al., 2007</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w:t>
            </w:r>
          </w:p>
        </w:tc>
      </w:tr>
      <w:tr>
        <w:trPr>
          <w:cantSplit/>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Crops are the main competitors for resources.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Nutrient run-off is a persistent problem in industrial agriculture, meaning the available nutrient exceeds all plants, including weeds' needs</w:t>
            </w:r>
          </w:p>
        </w:tc>
      </w:tr>
      <w:tr>
        <w:trPr>
          <w:cantSplit/>
          <w:trHeight w:val="62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weeds is negligible.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Waterhemp is one of the most competive weed species in row crop environments (Johnson et al., 2009 and Prince et al., 2012)</w:t>
            </w:r>
          </w:p>
        </w:tc>
      </w:tr>
      <w:tr>
        <w:trPr>
          <w:cantSplit/>
          <w:trHeight w:val="62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negligible.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Deduct collective from 1) nutrient run-off is a persistent problem in industrial agriculture, meaning the available nutrient exceeds all plants, including weeds' needs and 2) weed control measures application often occur at waterhemp's very young stage, leaving very few seedling survived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source is affluently available to all female plants at reproduction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Pollens can stay viable for five days after dispersion (Liu et al., 2012) and substantial population density and sex ratio at the experiment site (Nguyen and Liebman, 2022a)</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 : female ratio can deviate from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6"/>
    <w:bookmarkStart w:id="27"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c</m:t>
            </m:r>
          </m:sub>
        </m:sSub>
      </m:oMath>
      <w:r>
        <w:t xml:space="preserve"> </w:t>
      </w:r>
      <w:r>
        <w:t xml:space="preserve">(c = 2, 3, or 4, corresponding to the number of crop phases in each rotation). Each annual projection matrices, corresponding to a crop environment,</w:t>
      </w:r>
      <w:r>
        <w:t xml:space="preserve"> </w:t>
      </w:r>
      <m:oMath>
        <m:sSub>
          <m:e>
            <m:r>
              <m:t>P</m:t>
            </m:r>
          </m:e>
          <m:sub>
            <m:r>
              <m:t>c</m:t>
            </m:r>
          </m:sub>
        </m:sSub>
      </m:oMath>
      <w:r>
        <w:t xml:space="preserve">, is the product of six sub-annual matrices,</w:t>
      </w:r>
      <w:r>
        <w:t xml:space="preserve"> </w:t>
      </w:r>
      <m:oMath>
        <m:sSub>
          <m:e>
            <m:r>
              <m:t>B</m:t>
            </m:r>
          </m:e>
          <m:sub>
            <m:r>
              <m:t>k</m:t>
            </m:r>
          </m:sub>
        </m:sSub>
      </m:oMath>
      <w:r>
        <w:t xml:space="preserve"> </w:t>
      </w:r>
      <w:r>
        <w:t xml:space="preserve">with</w:t>
      </w:r>
      <w:r>
        <w:t xml:space="preserve"> </w:t>
      </w:r>
      <m:oMath>
        <m:r>
          <m:t>k</m:t>
        </m:r>
        <m:r>
          <m:rPr>
            <m:sty m:val="p"/>
          </m:rPr>
          <m:t>=</m:t>
        </m:r>
        <m:r>
          <m:rPr>
            <m:sty m:val="p"/>
          </m:rPr>
          <m:t>{</m:t>
        </m:r>
        <m:r>
          <m:t>1</m:t>
        </m:r>
        <m:r>
          <m:rPr>
            <m:sty m:val="p"/>
          </m:rPr>
          <m:t>,</m:t>
        </m:r>
        <m:r>
          <m:t>2</m:t>
        </m:r>
        <m:r>
          <m:rPr>
            <m:sty m:val="p"/>
          </m:rPr>
          <m:t>,</m:t>
        </m:r>
        <m:r>
          <m:rPr>
            <m:sty m:val="p"/>
          </m:rPr>
          <m:t>.</m:t>
        </m:r>
        <m:r>
          <m:rPr>
            <m:sty m:val="p"/>
          </m:rPr>
          <m:t>.</m:t>
        </m:r>
        <m:r>
          <m:rPr>
            <m:sty m:val="p"/>
          </m:rPr>
          <m:t>.</m:t>
        </m:r>
        <m:r>
          <m:rPr>
            <m:sty m:val="p"/>
          </m:rPr>
          <m:t>,</m:t>
        </m:r>
        <m:r>
          <m:t>6</m:t>
        </m:r>
        <m:r>
          <m:rPr>
            <m:sty m:val="p"/>
          </m:rPr>
          <m:t>}</m:t>
        </m:r>
      </m:oMath>
      <w:r>
        <w:t xml:space="preserve">. The six sub-annual matrices, in chronological order from spring to winter, are pre-planting tillage induced seed vertical movement (</w:t>
      </w:r>
      <m:oMath>
        <m:sSub>
          <m:e>
            <m:r>
              <m:t>B</m:t>
            </m:r>
          </m:e>
          <m:sub>
            <m:r>
              <m:t>τ</m:t>
            </m:r>
            <m:d>
              <m:dPr>
                <m:begChr m:val="("/>
                <m:endChr m:val=")"/>
                <m:sepChr m:val=""/>
                <m:grow/>
              </m:dPr>
              <m:e>
                <m:r>
                  <m:t>s</m:t>
                </m:r>
              </m:e>
            </m:d>
          </m:sub>
        </m:sSub>
      </m:oMath>
      <w:r>
        <w:t xml:space="preserve">), emergence (</w:t>
      </w:r>
      <m:oMath>
        <m:sSub>
          <m:e>
            <m:r>
              <m:t>B</m:t>
            </m:r>
          </m:e>
          <m:sub>
            <m:r>
              <m:t>γ</m:t>
            </m:r>
          </m:sub>
        </m:sSub>
      </m:oMath>
      <w:r>
        <w:t xml:space="preserve">), summer seed and seedling survival (</w:t>
      </w:r>
      <m:oMath>
        <m:sSub>
          <m:e>
            <m:r>
              <m:t>B</m:t>
            </m:r>
          </m:e>
          <m:sub>
            <m:r>
              <m:t>σ</m:t>
            </m:r>
          </m:sub>
        </m:sSub>
      </m:oMath>
      <w:r>
        <w:t xml:space="preserve">), fecundity (</w:t>
      </w:r>
      <m:oMath>
        <m:sSub>
          <m:e>
            <m:r>
              <m:t>B</m:t>
            </m:r>
          </m:e>
          <m:sub>
            <m:r>
              <m:t>ϕ</m:t>
            </m:r>
          </m:sub>
        </m:sSub>
      </m:oMath>
      <w:r>
        <w:t xml:space="preserve">), post-harvest tillage induced seed vertical movement (</w:t>
      </w:r>
      <m:oMath>
        <m:sSub>
          <m:e>
            <m:r>
              <m:t>B</m:t>
            </m:r>
          </m:e>
          <m:sub>
            <m:r>
              <m:t>τ</m:t>
            </m:r>
            <m:d>
              <m:dPr>
                <m:begChr m:val="("/>
                <m:endChr m:val=")"/>
                <m:sepChr m:val=""/>
                <m:grow/>
              </m:dPr>
              <m:e>
                <m:r>
                  <m:t>f</m:t>
                </m:r>
              </m:e>
            </m:d>
          </m:sub>
        </m:sSub>
      </m:oMath>
      <w:r>
        <w:t xml:space="preserve">), and overwinter seed survival (</w:t>
      </w:r>
      <m:oMath>
        <m:sSub>
          <m:e>
            <m:r>
              <m:t>B</m:t>
            </m:r>
          </m:e>
          <m:sub>
            <m:r>
              <m:t>ω</m:t>
            </m:r>
          </m:sub>
        </m:sSub>
      </m:oMath>
      <w:r>
        <w:t xml:space="preserve">). Each sub-annual period matrix of means is an 8x8 matrix consists of four blocks using the format of matrix 4.8 in</w:t>
      </w:r>
      <w:r>
        <w:t xml:space="preserve"> </w:t>
      </w:r>
      <w:r>
        <w:t xml:space="preserve">(Chapter 4, Caswell, 2001)</w:t>
      </w:r>
      <w:r>
        <w:t xml:space="preserve">. The compilation of each</w:t>
      </w:r>
      <w:r>
        <w:t xml:space="preserve"> </w:t>
      </w:r>
      <m:oMath>
        <m:sSub>
          <m:e>
            <m:r>
              <m:t>B</m:t>
            </m:r>
          </m:e>
          <m:sub>
            <m:r>
              <m:t>h</m:t>
            </m:r>
          </m:sub>
        </m:sSub>
      </m:oMath>
      <w:r>
        <w:t xml:space="preserve"> </w:t>
      </w:r>
      <w:r>
        <w:t xml:space="preserve">matrix, from the published literature, empirical measurement, or both parameters are detailed in the</w:t>
      </w:r>
      <w:r>
        <w:t xml:space="preserve"> </w:t>
      </w:r>
      <w:r>
        <w:rPr>
          <w:iCs/>
          <w:i/>
        </w:rPr>
        <w:t xml:space="preserve">Parameterization</w:t>
      </w:r>
      <w:r>
        <w:t xml:space="preserve"> </w:t>
      </w:r>
      <w:r>
        <w:t xml:space="preserve">section.</w:t>
      </w:r>
    </w:p>
    <w:p>
      <w:pPr>
        <w:pStyle w:val="BodyText"/>
      </w:pPr>
      <w:r>
        <w:t xml:space="preserve">Any transition matrix (periodic sub-annual, (</w:t>
      </w:r>
      <m:oMath>
        <m:sSub>
          <m:e>
            <m:r>
              <m:t>B</m:t>
            </m:r>
          </m:e>
          <m:sub>
            <m:r>
              <m:t>k</m:t>
            </m:r>
          </m:sub>
        </m:sSub>
      </m:oMath>
      <w:r>
        <w:t xml:space="preserve">), annual, (</w:t>
      </w:r>
      <m:oMath>
        <m:sSub>
          <m:e>
            <m:r>
              <m:t>A</m:t>
            </m:r>
          </m:e>
          <m:sub>
            <m:r>
              <m:t>r</m:t>
            </m:r>
          </m:sub>
        </m:sSub>
      </m:oMath>
      <w:r>
        <w:t xml:space="preserve">), or rotational, (</w:t>
      </w:r>
      <m:oMath>
        <m:sSub>
          <m:e>
            <m:r>
              <m:t>P</m:t>
            </m:r>
          </m:e>
          <m:sub>
            <m:r>
              <m:t>c</m:t>
            </m:r>
          </m:sub>
        </m:sSub>
      </m:oMath>
      <w:r>
        <w:t xml:space="preserve">)), is of eight rows by eight columns (8 x 8)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In total, eighteen sets of six sub-annual periodic matrices were used. Each set of sub-annual matrices was constructed for a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7"/>
    <w:bookmarkStart w:id="36" w:name="parameterization"/>
    <w:p>
      <w:pPr>
        <w:pStyle w:val="Heading3"/>
      </w:pPr>
      <w:r>
        <w:t xml:space="preserve">Parameterization</w:t>
      </w:r>
    </w:p>
    <w:p>
      <w:pPr>
        <w:pStyle w:val="FirstParagraph"/>
      </w:pPr>
      <w:r>
        <w:t xml:space="preserve">Two scenarios of population dynamics presented in this manuscript were distinguished by plant fecundity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delays (Table</w:t>
      </w:r>
      <w:r>
        <w:t xml:space="preserve"> </w:t>
      </w:r>
      <w:r>
        <w:t xml:space="preserve">1</w:t>
      </w:r>
      <w:r>
        <w:t xml:space="preserve">). All the parameters were calculated for a female-only population.</w:t>
      </w:r>
    </w:p>
    <w:p>
      <w:pPr>
        <w:pStyle w:val="BodyText"/>
      </w:pPr>
      <w:r>
        <w:t xml:space="preserve">The lower-level demographic parameters are demographic parameters at each sub-annual periods,</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columns of a</w:t>
      </w:r>
      <w:r>
        <w:t xml:space="preserve"> </w:t>
      </w:r>
      <m:oMath>
        <m:sSub>
          <m:e>
            <m:r>
              <m:t>B</m:t>
            </m:r>
          </m:e>
          <m:sub>
            <m:r>
              <m:t>h</m:t>
            </m:r>
          </m:sub>
        </m:sSub>
      </m:oMath>
      <w:r>
        <w:t xml:space="preserve"> </w:t>
      </w:r>
      <w:r>
        <w:t xml:space="preserve">matrix are named as</w:t>
      </w:r>
      <w:r>
        <w:t xml:space="preserve"> </w:t>
      </w:r>
      <w:r>
        <w:rPr>
          <w:rStyle w:val="VerbatimChar"/>
        </w:rPr>
        <w:t xml:space="preserve">seed_top</w:t>
      </w:r>
      <w:r>
        <w:t xml:space="preserve">,</w:t>
      </w:r>
      <w:r>
        <w:t xml:space="preserve"> </w:t>
      </w:r>
      <w:r>
        <w:rPr>
          <w:rStyle w:val="VerbatimChar"/>
        </w:rPr>
        <w:t xml:space="preserve">seed_bottom</w:t>
      </w:r>
      <w:r>
        <w:t xml:space="preserve">,</w:t>
      </w:r>
      <w:r>
        <w:t xml:space="preserve"> </w:t>
      </w:r>
      <w:r>
        <w:rPr>
          <w:rStyle w:val="VerbatimChar"/>
        </w:rPr>
        <w:t xml:space="preserve">plant_cohort_1</w:t>
      </w:r>
      <w:r>
        <w:t xml:space="preserve">, …,</w:t>
      </w:r>
      <w:r>
        <w:t xml:space="preserve"> </w:t>
      </w:r>
      <w:r>
        <w:rPr>
          <w:rStyle w:val="VerbatimChar"/>
        </w:rPr>
        <w:t xml:space="preserve">plant_cohort_6</w:t>
      </w:r>
      <w:r>
        <w:t xml:space="preserve">. The same order is applied down the rows of</w:t>
      </w:r>
      <w:r>
        <w:t xml:space="preserve"> </w:t>
      </w:r>
      <m:oMath>
        <m:sSub>
          <m:e>
            <m:r>
              <m:t>B</m:t>
            </m:r>
          </m:e>
          <m:sub>
            <m:r>
              <m:t>h</m:t>
            </m:r>
          </m:sub>
        </m:sSub>
      </m:oMath>
      <w:r>
        <w:t xml:space="preserve">.</w:t>
      </w:r>
      <w:r>
        <w:br/>
      </w:r>
      <w:r>
        <w:t xml:space="preserve">The examined lower-level demographic parameters can be grouped based on their impacts to preserving and producing new seeds, hereafter referred to as seed production, seed preservation, and neutral parameters. The seed preserving parameters are the probability of seeds not emerging (</w:t>
      </w:r>
      <m:oMath>
        <m:r>
          <m:t>1</m:t>
        </m:r>
        <m:r>
          <m:rPr>
            <m:sty m:val="p"/>
          </m:rPr>
          <m:t>−</m:t>
        </m:r>
        <m:nary>
          <m:naryPr>
            <m:chr m:val="∑"/>
            <m:limLoc m:val="undOvr"/>
            <m:subHide m:val="0"/>
            <m:supHide m:val="0"/>
          </m:naryPr>
          <m:sub>
            <m:r>
              <m:t>k</m:t>
            </m:r>
            <m:r>
              <m:rPr>
                <m:sty m:val="p"/>
              </m:rPr>
              <m:t>=</m:t>
            </m:r>
            <m:r>
              <m:t>1</m:t>
            </m:r>
          </m:sub>
          <m:sup>
            <m:r>
              <m:t>6</m:t>
            </m:r>
          </m:sup>
          <m:e>
            <m:sSub>
              <m:e>
                <m:r>
                  <m:t>γ</m:t>
                </m:r>
              </m:e>
              <m:sub>
                <m:r>
                  <m:t>k</m:t>
                </m:r>
              </m:sub>
            </m:sSub>
          </m:e>
        </m:nary>
      </m:oMath>
      <w:r>
        <w:t xml:space="preserve">). The seed producing parameters are the emergence probabilities (</w:t>
      </w:r>
      <m:oMath>
        <m:sSub>
          <m:e>
            <m:r>
              <m:t>γ</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σ</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σ</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ϕ</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ω</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to both seed preservation and seed production are tillage-induced seed movement across soil strata at the pre-planting (</w:t>
      </w:r>
      <m:oMath>
        <m:sSub>
          <m:e>
            <m:r>
              <m:t>τ</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τ</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granivors while the seeds that are kept at or moved to the 2-20 cm soil layer can be exposed to suicidal germination and decaying stimulants; or preserved at optimal conditions</w:t>
      </w:r>
      <w:r>
        <w:t xml:space="preserve"> </w:t>
      </w:r>
      <w:r>
        <w:t xml:space="preserve">(Burnside et al., 1996; Davis et al., 2005; Davis and Renner, 2007)</w:t>
      </w:r>
      <w:r>
        <w:t xml:space="preserve">.</w:t>
      </w:r>
    </w:p>
    <w:bookmarkStart w:id="33" w:name="published-literature-data"/>
    <w:p>
      <w:pPr>
        <w:pStyle w:val="Heading4"/>
      </w:pPr>
      <w:r>
        <w:t xml:space="preserve">Published literature data</w:t>
      </w:r>
    </w:p>
    <w:bookmarkStart w:id="28" w:name="X25ebf5f357bc3f697a63ede840897b15e2ebf90"/>
    <w:p>
      <w:pPr>
        <w:pStyle w:val="Heading5"/>
      </w:pPr>
      <w:r>
        <w:t xml:space="preserve">Pre-planting tillage induced vertical redistribution of seeds</w:t>
      </w:r>
    </w:p>
    <w:p>
      <w:pPr>
        <w:pStyle w:val="FirstParagraph"/>
      </w:pPr>
      <w:r>
        <w:t xml:space="preserve">The only non-zeros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 vertical seed movement after tillage. No-till is represented by an identical matrix,</w:t>
      </w:r>
      <w:r>
        <w:t xml:space="preserve"> </w:t>
      </w:r>
      <m:oMath>
        <m:r>
          <m:t>I</m:t>
        </m:r>
      </m:oMath>
      <w:r>
        <w:t xml:space="preserve">, after</w:t>
      </w:r>
      <w:r>
        <w:t xml:space="preserve"> </w:t>
      </w:r>
      <w:r>
        <w:t xml:space="preserve">Cousens and Moss (1990)</w:t>
      </w:r>
      <w:r>
        <w:t xml:space="preserve">.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w:r>
        <w:t xml:space="preserve">The</w:t>
      </w:r>
      <w:r>
        <w:t xml:space="preserve"> </w:t>
      </w:r>
      <w:r>
        <w:t xml:space="preserve">Spokas et al. (2007)</w:t>
      </w:r>
      <w:r>
        <w:t xml:space="preserve">’s raw data was used to calculate the proportion of seeds staying at its original section,</w:t>
      </w:r>
      <w:r>
        <w:t xml:space="preserve"> </w:t>
      </w:r>
      <m:oMath>
        <m:sSub>
          <m:e>
            <m:r>
              <m:t>τ</m:t>
            </m:r>
          </m:e>
          <m:sub>
            <m:r>
              <m:t>11</m:t>
            </m:r>
            <m:r>
              <m:rPr>
                <m:sty m:val="p"/>
              </m:rPr>
              <m:t>,</m:t>
            </m:r>
            <m:r>
              <m:t>s</m:t>
            </m:r>
          </m:sub>
        </m:sSub>
      </m:oMath>
      <w:r>
        <w:t xml:space="preserve"> </w:t>
      </w:r>
      <w:r>
        <w:t xml:space="preserve">and</w:t>
      </w:r>
      <w:r>
        <w:t xml:space="preserve"> </w:t>
      </w:r>
      <m:oMath>
        <m:sSub>
          <m:e>
            <m:r>
              <m:t>τ</m:t>
            </m:r>
          </m:e>
          <m:sub>
            <m:r>
              <m:t>22</m:t>
            </m:r>
            <m:r>
              <m:rPr>
                <m:sty m:val="p"/>
              </m:rPr>
              <m:t>,</m:t>
            </m:r>
            <m:r>
              <m:t>s</m:t>
            </m:r>
          </m:sub>
        </m:sSub>
      </m:oMath>
      <w:r>
        <w:t xml:space="preserve">, or move to another section,</w:t>
      </w:r>
      <w:r>
        <w:t xml:space="preserve"> </w:t>
      </w:r>
      <m:oMath>
        <m:sSub>
          <m:e>
            <m:r>
              <m:t>τ</m:t>
            </m:r>
          </m:e>
          <m:sub>
            <m:r>
              <m:t>12</m:t>
            </m:r>
            <m:r>
              <m:rPr>
                <m:sty m:val="p"/>
              </m:rPr>
              <m:t>,</m:t>
            </m:r>
            <m:r>
              <m:t>s</m:t>
            </m:r>
          </m:sub>
        </m:sSub>
      </m:oMath>
      <w:r>
        <w:t xml:space="preserve"> </w:t>
      </w:r>
      <w:r>
        <w:t xml:space="preserve">and</w:t>
      </w:r>
      <w:r>
        <w:t xml:space="preserve"> </w:t>
      </w:r>
      <m:oMath>
        <m:sSub>
          <m:e>
            <m:r>
              <m:t>τ</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2x2 by summing over all the elements within each of the four sections, i.e., top left 2x2, bottom left 18x2, top right 2x18, and 18x18, and divide each of the ix2 summations by the summation of the 20x2 left section, and each of the ix18 summations by the summation of the 20x2 right section.</w:t>
      </w:r>
    </w:p>
    <w:p>
      <w:pPr>
        <w:pStyle w:val="BodyText"/>
      </w:pPr>
      <m:oMathPara>
        <m:oMathParaPr>
          <m:jc m:val="center"/>
        </m:oMathParaPr>
        <m:oMath>
          <m:sSub>
            <m:e>
              <m:r>
                <m:rPr>
                  <m:sty m:val="b"/>
                </m:rPr>
                <m:t>B</m:t>
              </m:r>
            </m:e>
            <m:sub>
              <m:r>
                <m:rPr>
                  <m:sty m:val="b"/>
                </m:rPr>
                <m:t>τ</m:t>
              </m:r>
              <m:d>
                <m:dPr>
                  <m:begChr m:val="("/>
                  <m:endChr m:val=")"/>
                  <m:sepChr m:val=""/>
                  <m:grow/>
                </m:dPr>
                <m:e>
                  <m:r>
                    <m:rPr>
                      <m:sty m:val="b"/>
                    </m:rP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τ</m:t>
                        </m:r>
                      </m:e>
                      <m:sub>
                        <m:r>
                          <m:t>11</m:t>
                        </m:r>
                        <m:r>
                          <m:rPr>
                            <m:sty m:val="p"/>
                          </m:rPr>
                          <m:t>,</m:t>
                        </m:r>
                        <m:r>
                          <m:t>s</m:t>
                        </m:r>
                      </m:sub>
                    </m:sSub>
                  </m:e>
                  <m:e>
                    <m:sSub>
                      <m:e>
                        <m:r>
                          <m:t>τ</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τ</m:t>
                        </m:r>
                      </m:e>
                      <m:sub>
                        <m:r>
                          <m:t>12</m:t>
                        </m:r>
                        <m:r>
                          <m:rPr>
                            <m:sty m:val="p"/>
                          </m:rPr>
                          <m:t>,</m:t>
                        </m:r>
                        <m:r>
                          <m:t>s</m:t>
                        </m:r>
                      </m:sub>
                    </m:sSub>
                  </m:e>
                  <m:e>
                    <m:sSub>
                      <m:e>
                        <m:r>
                          <m:t>τ</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28"/>
    <w:bookmarkStart w:id="29"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σ</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rPr>
                  <m:sty m:val="b"/>
                </m:rPr>
                <m:t>B</m:t>
              </m:r>
            </m:e>
            <m:sub>
              <m:r>
                <m:rPr>
                  <m:sty m:val="b"/>
                </m:rPr>
                <m:t>σ</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σ</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σ</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σ</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σ</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σ</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σ</m:t>
            </m:r>
          </m:e>
          <m:sub>
            <m:sSub>
              <m:e>
                <m:r>
                  <m:t>s</m:t>
                </m:r>
              </m:e>
              <m:sub>
                <m:r>
                  <m:t>1</m:t>
                </m:r>
              </m:sub>
            </m:sSub>
          </m:sub>
        </m:sSub>
      </m:oMath>
      <w:r>
        <w:t xml:space="preserve"> </w:t>
      </w:r>
      <w:r>
        <w:t xml:space="preserve">and</w:t>
      </w:r>
      <w:r>
        <w:t xml:space="preserve"> </w:t>
      </w:r>
      <m:oMath>
        <m:sSub>
          <m:e>
            <m:r>
              <m:t>σ</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denoted as</w:t>
      </w:r>
      <w:r>
        <w:t xml:space="preserve"> </w:t>
      </w:r>
      <m:oMath>
        <m:sSub>
          <m:e>
            <m:r>
              <m:t>x</m:t>
            </m:r>
          </m:e>
          <m:sub>
            <m:r>
              <m:t>s</m:t>
            </m:r>
          </m:sub>
        </m:sSub>
      </m:oMath>
      <w:r>
        <w:t xml:space="preserve">, the burial length in month, were assigned at 6 for corn and soybean,</w:t>
      </w:r>
      <w:r>
        <w:t xml:space="preserve"> </w:t>
      </w:r>
      <w:r>
        <w:rPr>
          <w:iCs/>
          <w:i/>
        </w:rPr>
        <w:t xml:space="preserve">6.5 for oat, and 7 for alfalfa</w:t>
      </w:r>
      <w:r>
        <w:t xml:space="preserve"> </w:t>
      </w:r>
      <w:r>
        <w:t xml:space="preserve">crop environments (Table</w:t>
      </w:r>
      <w:r>
        <w:t xml:space="preserve"> </w:t>
      </w:r>
      <w:r>
        <w:t xml:space="preserve">2</w:t>
      </w:r>
      <w:r>
        <w:t xml:space="preserve">). These x’s values were assigned based on the estimated time that seeds are receiving germination stimulants.</w:t>
      </w:r>
    </w:p>
    <w:p>
      <w:pPr>
        <w:pStyle w:val="BodyText"/>
      </w:pPr>
      <w:r>
        <w:t xml:space="preserve">The empirically measured data for seedling survival was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were used for soybean crop environments. The seedling survival rates by cohort (</w:t>
      </w:r>
      <m:oMath>
        <m:sSub>
          <m:e>
            <m:r>
              <m:t>σ</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guessed numbers were based on a suggestion that the cool-season crop environments can inhibit warm-season weed species growth</w:t>
      </w:r>
      <w:r>
        <w:t xml:space="preserve"> </w:t>
      </w:r>
      <w:r>
        <w:t xml:space="preserve">(Nguyen and Liebman, 2022b and relevant citations)</w:t>
      </w:r>
      <w:r>
        <w:t xml:space="preserve">.</w:t>
      </w:r>
    </w:p>
    <w:bookmarkEnd w:id="29"/>
    <w:bookmarkStart w:id="30" w:name="plant-fecundity"/>
    <w:p>
      <w:pPr>
        <w:pStyle w:val="Heading5"/>
      </w:pPr>
      <w:r>
        <w:t xml:space="preserve">Plant fecundity</w:t>
      </w:r>
    </w:p>
    <w:p>
      <w:pPr>
        <w:pStyle w:val="FirstParagraph"/>
      </w:pPr>
      <w:r>
        <w:t xml:space="preserve">The plant fecundity matrix,</w:t>
      </w:r>
      <w:r>
        <w:t xml:space="preserve"> </w:t>
      </w:r>
      <m:oMath>
        <m:sSub>
          <m:e>
            <m:r>
              <m:t>B</m:t>
            </m:r>
          </m:e>
          <m:sub>
            <m:r>
              <m:t>ϕ</m:t>
            </m:r>
          </m:sub>
        </m:sSub>
      </m:oMath>
      <w:r>
        <w:t xml:space="preserve">, had the</w:t>
      </w:r>
      <w:r>
        <w:t xml:space="preserve"> </w:t>
      </w:r>
      <m:oMath>
        <m:sSub>
          <m:e>
            <m:r>
              <m:t>M</m:t>
            </m:r>
          </m:e>
          <m:sub>
            <m:r>
              <m:t>s</m:t>
            </m:r>
          </m:sub>
        </m:sSub>
      </m:oMath>
      <w:r>
        <w:t xml:space="preserve"> </w:t>
      </w:r>
      <w:r>
        <w:t xml:space="preserve">section’s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ϕ</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section’s diagonal are placeholders to carry the product from the previous matrices over.</w:t>
      </w:r>
    </w:p>
    <w:p>
      <w:pPr>
        <w:pStyle w:val="BodyText"/>
      </w:pPr>
      <m:oMathPara>
        <m:oMathParaPr>
          <m:jc m:val="center"/>
        </m:oMathParaPr>
        <m:oMath>
          <m:sSub>
            <m:e>
              <m:r>
                <m:rPr>
                  <m:sty m:val="b"/>
                </m:rPr>
                <m:t>B</m:t>
              </m:r>
            </m:e>
            <m:sub>
              <m:r>
                <m:rPr>
                  <m:sty m:val="b"/>
                </m:rPr>
                <m:t>ϕ</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ϕ</m:t>
                        </m:r>
                      </m:e>
                      <m:sub>
                        <m:r>
                          <m:t>1</m:t>
                        </m:r>
                      </m:sub>
                    </m:sSub>
                  </m:e>
                  <m:e>
                    <m:sSub>
                      <m:e>
                        <m:r>
                          <m:t>ϕ</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ϕ</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ϕ</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Nguyen and Liebman (2022a)</w:t>
      </w:r>
      <w:r>
        <w:t xml:space="preserve">. In scenario 2, the plants were partitioned into six size-based bins and their fecundity were summarized as</w:t>
      </w:r>
      <w:r>
        <w:t xml:space="preserve"> </w:t>
      </w:r>
      <m:oMath>
        <m:sSub>
          <m:e>
            <m:r>
              <m:t>ϕ</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 in the</w:t>
      </w:r>
      <w:r>
        <w:t xml:space="preserve"> </w:t>
      </w:r>
      <m:oMath>
        <m:sSub>
          <m:e>
            <m:r>
              <m:t>B</m:t>
            </m:r>
          </m:e>
          <m:sub>
            <m:r>
              <m:t>ϕ</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bookmarkEnd w:id="30"/>
    <w:bookmarkStart w:id="31"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τ</m:t>
            </m:r>
            <m:d>
              <m:dPr>
                <m:begChr m:val="("/>
                <m:endChr m:val=")"/>
                <m:sepChr m:val=""/>
                <m:grow/>
              </m:dPr>
              <m:e>
                <m:r>
                  <m:t>f</m:t>
                </m:r>
              </m:e>
            </m:d>
          </m:sub>
        </m:sSub>
      </m:oMath>
      <w:r>
        <w:t xml:space="preserve"> </w:t>
      </w:r>
      <w:r>
        <w:t xml:space="preserve">was the similar to that of</w:t>
      </w:r>
      <w:r>
        <w:t xml:space="preserve"> </w:t>
      </w:r>
      <m:oMath>
        <m:sSub>
          <m:e>
            <m:r>
              <m:t>B</m:t>
            </m:r>
          </m:e>
          <m:sub>
            <m:r>
              <m:t>τ</m:t>
            </m:r>
            <m:d>
              <m:dPr>
                <m:begChr m:val="("/>
                <m:endChr m:val=")"/>
                <m:sepChr m:val=""/>
                <m:grow/>
              </m:dPr>
              <m:e>
                <m:r>
                  <m:t>s</m:t>
                </m:r>
              </m:e>
            </m:d>
          </m:sub>
        </m:sSub>
      </m:oMath>
      <w:r>
        <w:t xml:space="preserve">. Chisel plow was applied after C2, C3, and C4, no-till was applied after S2, S3, S4, and O4, and moldboard was applied after O3 and A4.</w:t>
      </w:r>
    </w:p>
    <w:p>
      <w:pPr>
        <w:pStyle w:val="BodyText"/>
      </w:pPr>
      <m:oMathPara>
        <m:oMathParaPr>
          <m:jc m:val="center"/>
        </m:oMathParaPr>
        <m:oMath>
          <m:sSub>
            <m:e>
              <m:r>
                <m:rPr>
                  <m:sty m:val="b"/>
                </m:rPr>
                <m:t>B</m:t>
              </m:r>
            </m:e>
            <m:sub>
              <m:r>
                <m:rPr>
                  <m:sty m:val="b"/>
                </m:rPr>
                <m:t>τ</m:t>
              </m:r>
              <m:d>
                <m:dPr>
                  <m:begChr m:val="("/>
                  <m:endChr m:val=")"/>
                  <m:sepChr m:val=""/>
                  <m:grow/>
                </m:dPr>
                <m:e>
                  <m:r>
                    <m:rPr>
                      <m:sty m:val="b"/>
                    </m:rP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τ</m:t>
                        </m:r>
                      </m:e>
                      <m:sub>
                        <m:r>
                          <m:t>11</m:t>
                        </m:r>
                        <m:r>
                          <m:rPr>
                            <m:sty m:val="p"/>
                          </m:rPr>
                          <m:t>,</m:t>
                        </m:r>
                        <m:r>
                          <m:t>f</m:t>
                        </m:r>
                      </m:sub>
                    </m:sSub>
                  </m:e>
                  <m:e>
                    <m:sSub>
                      <m:e>
                        <m:r>
                          <m:t>τ</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τ</m:t>
                        </m:r>
                      </m:e>
                      <m:sub>
                        <m:r>
                          <m:t>12</m:t>
                        </m:r>
                        <m:r>
                          <m:rPr>
                            <m:sty m:val="p"/>
                          </m:rPr>
                          <m:t>,</m:t>
                        </m:r>
                        <m:r>
                          <m:t>f</m:t>
                        </m:r>
                      </m:sub>
                    </m:sSub>
                  </m:e>
                  <m:e>
                    <m:sSub>
                      <m:e>
                        <m:r>
                          <m:t>τ</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31"/>
    <w:bookmarkStart w:id="32" w:name="overwinter-survival"/>
    <w:p>
      <w:pPr>
        <w:pStyle w:val="Heading5"/>
      </w:pPr>
      <w:r>
        <w:t xml:space="preserve">Overwinter survival</w:t>
      </w:r>
    </w:p>
    <w:p>
      <w:pPr>
        <w:pStyle w:val="FirstParagraph"/>
      </w:pPr>
      <w:r>
        <w:t xml:space="preserve">The compilation of matrix</w:t>
      </w:r>
      <w:r>
        <w:t xml:space="preserve"> </w:t>
      </w:r>
      <m:oMath>
        <m:sSub>
          <m:e>
            <m:r>
              <m:t>B</m:t>
            </m:r>
          </m:e>
          <m:sub>
            <m:r>
              <m:t>ω</m:t>
            </m:r>
          </m:sub>
        </m:sSub>
      </m:oMath>
      <w:r>
        <w:t xml:space="preserve"> </w:t>
      </w:r>
      <w:r>
        <w:t xml:space="preserve">was similar to that of</w:t>
      </w:r>
      <w:r>
        <w:t xml:space="preserve"> </w:t>
      </w:r>
      <m:oMath>
        <m:sSub>
          <m:e>
            <m:r>
              <m:t>B</m:t>
            </m:r>
          </m:e>
          <m:sub>
            <m:r>
              <m:t>σ</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r>
        <w:t xml:space="preserve"> </w:t>
      </w:r>
      <m:oMath>
        <m:sSub>
          <m:e>
            <m:r>
              <m:t>ω</m:t>
            </m:r>
          </m:e>
          <m:sub>
            <m:r>
              <m:t>i</m:t>
            </m:r>
            <m:r>
              <m:t>j</m:t>
            </m:r>
          </m:sub>
        </m:sSub>
      </m:oMath>
      <w:r>
        <w:t xml:space="preserve"> </w:t>
      </w:r>
      <w:r>
        <w:t xml:space="preserve">was calculated with different values of x, denoted as</w:t>
      </w:r>
      <w:r>
        <w:t xml:space="preserve"> </w:t>
      </w:r>
      <m:oMath>
        <m:sSub>
          <m:e>
            <m:r>
              <m:t>x</m:t>
            </m:r>
          </m:e>
          <m:sub>
            <m:r>
              <m:t>w</m:t>
            </m:r>
          </m:sub>
        </m:sSub>
      </m:oMath>
      <w:r>
        <w:t xml:space="preserve"> </w:t>
      </w:r>
      <w:r>
        <w:t xml:space="preserve">the burial length in month, were assigned at 6 for corn and soybean,</w:t>
      </w:r>
      <w:r>
        <w:t xml:space="preserve"> </w:t>
      </w:r>
      <w:r>
        <w:rPr>
          <w:iCs/>
          <w:i/>
        </w:rPr>
        <w:t xml:space="preserve">5.5 for oat, and 5 for alfalfa</w:t>
      </w:r>
      <w:r>
        <w:t xml:space="preserve"> </w:t>
      </w:r>
      <w:r>
        <w:t xml:space="preserve">crop environments (Table</w:t>
      </w:r>
      <w:r>
        <w:t xml:space="preserve"> </w:t>
      </w:r>
      <w:r>
        <w:t xml:space="preserve">2</w:t>
      </w:r>
      <w:r>
        <w:t xml:space="preserve">), equivalent to</w:t>
      </w:r>
      <w:r>
        <w:t xml:space="preserve"> </w:t>
      </w:r>
      <m:oMath>
        <m:r>
          <m:t>12</m:t>
        </m:r>
        <m:r>
          <m:rPr>
            <m:sty m:val="p"/>
          </m:rPr>
          <m:t>−</m:t>
        </m:r>
        <m:sSub>
          <m:e>
            <m:r>
              <m:t>x</m:t>
            </m:r>
          </m:e>
          <m:sub>
            <m:r>
              <m:t>s</m:t>
            </m:r>
          </m:sub>
        </m:sSub>
      </m:oMath>
      <w:r>
        <w:t xml:space="preserve"> </w:t>
      </w:r>
      <w:r>
        <w:t xml:space="preserve">in the summer seed survival in matrix</w:t>
      </w:r>
      <w:r>
        <w:t xml:space="preserve"> </w:t>
      </w:r>
      <m:oMath>
        <m:sSub>
          <m:e>
            <m:r>
              <m:t>B</m:t>
            </m:r>
          </m:e>
          <m:sub>
            <m:r>
              <m:t>σ</m:t>
            </m:r>
          </m:sub>
        </m:sSub>
      </m:oMath>
      <w:r>
        <w:t xml:space="preserve">.</w:t>
      </w:r>
    </w:p>
    <w:p>
      <w:pPr>
        <w:pStyle w:val="BodyText"/>
      </w:pPr>
      <m:oMathPara>
        <m:oMathParaPr>
          <m:jc m:val="center"/>
        </m:oMathParaPr>
        <m:oMath>
          <m:sSub>
            <m:e>
              <m:r>
                <m:rPr>
                  <m:sty m:val="b"/>
                </m:rPr>
                <m:t>B</m:t>
              </m:r>
            </m:e>
            <m:sub>
              <m:r>
                <m:rPr>
                  <m:sty m:val="b"/>
                </m:rPr>
                <m:t>ω</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ω</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ω</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32"/>
    <w:bookmarkEnd w:id="33"/>
    <w:bookmarkStart w:id="35" w:name="empirically-measured-data"/>
    <w:p>
      <w:pPr>
        <w:pStyle w:val="Heading4"/>
      </w:pPr>
      <w:r>
        <w:t xml:space="preserve">Empirically measured data</w:t>
      </w:r>
    </w:p>
    <w:bookmarkStart w:id="34" w:name="seedling-recruitment"/>
    <w:p>
      <w:pPr>
        <w:pStyle w:val="Heading5"/>
      </w:pPr>
      <w:r>
        <w:t xml:space="preserve">Seedling recruitment</w:t>
      </w:r>
    </w:p>
    <w:p>
      <w:pPr>
        <w:pStyle w:val="FirstParagraph"/>
      </w:pPr>
      <w:r>
        <w:t xml:space="preserve">The emergence proportions calculated from step 5 here are lined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γ</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γ</m:t>
            </m:r>
          </m:e>
          <m:sub>
            <m:r>
              <m:t>k</m:t>
            </m:r>
          </m:sub>
        </m:sSub>
      </m:oMath>
      <w:r>
        <w:t xml:space="preserve"> </w:t>
      </w:r>
      <w:r>
        <w:t xml:space="preserve">represents the non-emerging seeds proportion.</w:t>
      </w:r>
    </w:p>
    <w:p>
      <w:pPr>
        <w:pStyle w:val="BodyText"/>
      </w:pPr>
      <m:oMathPara>
        <m:oMathParaPr>
          <m:jc m:val="center"/>
        </m:oMathParaPr>
        <m:oMath>
          <m:sSub>
            <m:e>
              <m:r>
                <m:rPr>
                  <m:sty m:val="b"/>
                </m:rPr>
                <m:t>B</m:t>
              </m:r>
            </m:e>
            <m:sub>
              <m:r>
                <m:rPr>
                  <m:sty m:val="b"/>
                </m:rPr>
                <m:t>γ</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r>
                      <m:rPr>
                        <m:sty m:val="p"/>
                      </m:rPr>
                      <m:t>−</m:t>
                    </m:r>
                    <m:nary>
                      <m:naryPr>
                        <m:chr m:val="∑"/>
                        <m:limLoc m:val="undOvr"/>
                        <m:subHide m:val="0"/>
                        <m:supHide m:val="0"/>
                      </m:naryPr>
                      <m:sub>
                        <m:r>
                          <m:t>k</m:t>
                        </m:r>
                        <m:r>
                          <m:rPr>
                            <m:sty m:val="p"/>
                          </m:rPr>
                          <m:t>=</m:t>
                        </m:r>
                        <m:r>
                          <m:t>1</m:t>
                        </m:r>
                      </m:sub>
                      <m:sup>
                        <m:r>
                          <m:t>6</m:t>
                        </m:r>
                      </m:sup>
                      <m:e>
                        <m:sSub>
                          <m:e>
                            <m:r>
                              <m:t>γ</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γ</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γ</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 emergence from the top 0-2 cm soil seedbank stratum in each crop identity crossed with corn weed management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matrices, as detailed in the</w:t>
      </w:r>
      <w:r>
        <w:t xml:space="preserve"> </w:t>
      </w:r>
      <w:r>
        <w:rPr>
          <w:iCs/>
          <w:i/>
        </w:rPr>
        <w:t xml:space="preserve">Post-harvest tillage induced seed vertical movement</w:t>
      </w:r>
      <w:r>
        <w:t xml:space="preserve">, to yield</w:t>
      </w:r>
      <w:r>
        <w:t xml:space="preserve"> </w:t>
      </w:r>
      <m:oMath>
        <m:sSub>
          <m:e>
            <m:r>
              <m:t>N</m:t>
            </m:r>
          </m:e>
          <m:sub>
            <m:r>
              <m:t>τ</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τ</m:t>
            </m:r>
            <m:d>
              <m:dPr>
                <m:begChr m:val="("/>
                <m:endChr m:val=")"/>
                <m:sepChr m:val=""/>
                <m:grow/>
              </m:dPr>
              <m:e>
                <m:r>
                  <m:t>f</m:t>
                </m:r>
              </m:e>
            </m:d>
          </m:sub>
        </m:sSub>
      </m:oMath>
      <w:r>
        <w:t xml:space="preserve"> </w:t>
      </w:r>
      <w:r>
        <w:t xml:space="preserve">to yield</w:t>
      </w:r>
      <w:r>
        <w:t xml:space="preserve"> </w:t>
      </w:r>
      <m:oMath>
        <m:sSub>
          <m:e>
            <m:r>
              <m:t>N</m:t>
            </m:r>
          </m:e>
          <m:sub>
            <m:r>
              <m:t>ω</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τ</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t</m:t>
            </m:r>
          </m:sub>
        </m:sSub>
      </m:oMath>
      <w:r>
        <w:t xml:space="preserve">, the top soil stratum seed density to yield</w:t>
      </w:r>
      <w:r>
        <w:t xml:space="preserve"> </w:t>
      </w:r>
      <m:oMath>
        <m:sSub>
          <m:e>
            <m:r>
              <m:t>γ</m:t>
            </m:r>
          </m:e>
          <m:sub>
            <m:r>
              <m:t>k</m:t>
            </m:r>
          </m:sub>
        </m:sSub>
      </m:oMath>
      <w:r>
        <w:t xml:space="preserve">.</w:t>
      </w:r>
    </w:p>
    <w:bookmarkEnd w:id="34"/>
    <w:bookmarkEnd w:id="35"/>
    <w:bookmarkEnd w:id="36"/>
    <w:bookmarkStart w:id="42" w:name="variance-of-the-lower-level-parameters"/>
    <w:p>
      <w:pPr>
        <w:pStyle w:val="Heading3"/>
      </w:pPr>
      <w:r>
        <w:t xml:space="preserve">Variance of the lower-level parameters</w:t>
      </w:r>
    </w:p>
    <w:p>
      <w:pPr>
        <w:pStyle w:val="FirstParagraph"/>
      </w:pPr>
      <w:r>
        <w:t xml:space="preserve">The variance-covariance matrix of each matrix</w:t>
      </w:r>
      <w:r>
        <w:t xml:space="preserve"> </w:t>
      </w:r>
      <m:oMath>
        <m:sSub>
          <m:e>
            <m:r>
              <m:t>B</m:t>
            </m:r>
          </m:e>
          <m:sub>
            <m:r>
              <m:t>h</m:t>
            </m:r>
          </m:sub>
        </m:sSub>
      </m:oMath>
      <w:r>
        <w:t xml:space="preserve">,</w:t>
      </w:r>
      <w:r>
        <w:t xml:space="preserve"> </w:t>
      </w:r>
      <m:oMath>
        <m:sSub>
          <m:e>
            <m:r>
              <m:t>V</m:t>
            </m:r>
          </m:e>
          <m:sub>
            <m:r>
              <m:t>h</m:t>
            </m:r>
          </m:sub>
        </m:sSub>
      </m:oMath>
      <w:r>
        <w:t xml:space="preserve">, was used to calculate the variance of</w:t>
      </w:r>
      <w:r>
        <w:t xml:space="preserve"> </w:t>
      </w:r>
      <m:oMath>
        <m:r>
          <m:t>λ</m:t>
        </m:r>
      </m:oMath>
      <w:r>
        <w:t xml:space="preserve">.</w:t>
      </w:r>
      <w:r>
        <w:t xml:space="preserve"> </w:t>
      </w:r>
      <m:oMath>
        <m:sSub>
          <m:e>
            <m:r>
              <m:t>V</m:t>
            </m:r>
          </m:e>
          <m:sub>
            <m:r>
              <m:t>h</m:t>
            </m:r>
          </m:sub>
        </m:sSub>
      </m:oMath>
      <w:r>
        <w:t xml:space="preserve"> </w:t>
      </w:r>
      <w:r>
        <w:t xml:space="preserve">dimension depended on the dimension of the non-zero block in the relevant</w:t>
      </w:r>
      <w:r>
        <w:t xml:space="preserve"> </w:t>
      </w:r>
      <m:oMath>
        <m:sSub>
          <m:e>
            <m:r>
              <m:t>B</m:t>
            </m:r>
          </m:e>
          <m:sub>
            <m:r>
              <m:t>h</m:t>
            </m:r>
          </m:sub>
        </m:sSub>
      </m:oMath>
      <w:r>
        <w:t xml:space="preserve"> </w:t>
      </w:r>
      <w:r>
        <w:t xml:space="preserve">matrix. All the</w:t>
      </w:r>
      <w:r>
        <w:t xml:space="preserve"> </w:t>
      </w:r>
      <m:oMath>
        <m:sSub>
          <m:e>
            <m:r>
              <m:t>V</m:t>
            </m:r>
          </m:e>
          <m:sub>
            <m:r>
              <m:t>h</m:t>
            </m:r>
          </m:sub>
        </m:sSub>
      </m:oMath>
      <w:r>
        <w:t xml:space="preserve"> </w:t>
      </w:r>
      <w:r>
        <w:t xml:space="preserve">matrices, but</w:t>
      </w:r>
      <w:r>
        <w:t xml:space="preserve"> </w:t>
      </w:r>
      <m:oMath>
        <m:sSub>
          <m:e>
            <m:r>
              <m:t>V</m:t>
            </m:r>
          </m:e>
          <m:sub>
            <m:r>
              <m:t>τ</m:t>
            </m:r>
          </m:sub>
        </m:sSub>
      </m:oMath>
      <w:r>
        <w:t xml:space="preserve"> </w:t>
      </w:r>
      <w:r>
        <w:t xml:space="preserve">and</w:t>
      </w:r>
      <w:r>
        <w:t xml:space="preserve"> </w:t>
      </w:r>
      <m:oMath>
        <m:sSub>
          <m:e>
            <m:r>
              <m:t>V</m:t>
            </m:r>
          </m:e>
          <m:sub>
            <m:r>
              <m:t>γ</m:t>
            </m:r>
          </m:sub>
        </m:sSub>
      </m:oMath>
      <w:r>
        <w:t xml:space="preserve">, are diagonal. Variance of zero is assumed to be zero.</w:t>
      </w:r>
    </w:p>
    <w:bookmarkStart w:id="37" w:name="X05d8dc27fea4b4b5a95161c906aeb6f9175f2c2"/>
    <w:p>
      <w:pPr>
        <w:pStyle w:val="Heading4"/>
      </w:pPr>
      <w:r>
        <w:t xml:space="preserve">Pre-planting and post-harvest tillage induced seed movement</w:t>
      </w:r>
    </w:p>
    <w:p>
      <w:pPr>
        <w:pStyle w:val="FirstParagraph"/>
      </w:pPr>
      <w:r>
        <w:t xml:space="preserve">The variance-covariance matrix of matrices</w:t>
      </w:r>
      <w:r>
        <w:t xml:space="preserve"> </w:t>
      </w:r>
      <m:oMath>
        <m:sSub>
          <m:e>
            <m:r>
              <m:t>B</m:t>
            </m:r>
          </m:e>
          <m:sub>
            <m:r>
              <m:t>τ</m:t>
            </m:r>
            <m:d>
              <m:dPr>
                <m:begChr m:val="("/>
                <m:endChr m:val=")"/>
                <m:sepChr m:val=""/>
                <m:grow/>
              </m:dPr>
              <m:e>
                <m:r>
                  <m:t>s</m:t>
                </m:r>
              </m:e>
            </m:d>
          </m:sub>
        </m:sSub>
      </m:oMath>
      <w:r>
        <w:t xml:space="preserve"> </w:t>
      </w:r>
      <w:r>
        <w:t xml:space="preserve">and</w:t>
      </w:r>
      <w:r>
        <w:t xml:space="preserve"> </w:t>
      </w:r>
      <m:oMath>
        <m:sSub>
          <m:e>
            <m:r>
              <m:t>B</m:t>
            </m:r>
          </m:e>
          <m:sub>
            <m:r>
              <m:t>τ</m:t>
            </m:r>
            <m:d>
              <m:dPr>
                <m:begChr m:val="("/>
                <m:endChr m:val=")"/>
                <m:sepChr m:val=""/>
                <m:grow/>
              </m:dPr>
              <m:e>
                <m:r>
                  <m:t>f</m:t>
                </m:r>
              </m:e>
            </m:d>
          </m:sub>
        </m:sSub>
      </m:oMath>
      <w:r>
        <w:t xml:space="preserve"> </w:t>
      </w:r>
      <w:r>
        <w:t xml:space="preserve">are 2x2 because these periods involved seed dynamics only.</w:t>
      </w:r>
      <w:r>
        <w:t xml:space="preserve"> </w:t>
      </w:r>
      <m:oMath>
        <m:sSub>
          <m:e>
            <m:r>
              <m:t>v</m:t>
            </m:r>
          </m:e>
          <m:sub>
            <m:sSub>
              <m:e>
                <m:r>
                  <m:t>τ</m:t>
                </m:r>
              </m:e>
              <m:sub>
                <m:r>
                  <m:t>i</m:t>
                </m:r>
                <m:r>
                  <m:rPr>
                    <m:sty m:val="p"/>
                  </m:rPr>
                  <m:t>,</m:t>
                </m:r>
                <m:r>
                  <m:t>j</m:t>
                </m:r>
              </m:sub>
            </m:sSub>
          </m:sub>
        </m:sSub>
        <m:r>
          <m:rPr>
            <m:sty m:val="p"/>
          </m:rPr>
          <m:t>=</m:t>
        </m:r>
        <m:f>
          <m:fPr>
            <m:type m:val="bar"/>
          </m:fPr>
          <m:num>
            <m:sSub>
              <m:e>
                <m:r>
                  <m:t>τ</m:t>
                </m:r>
              </m:e>
              <m:sub>
                <m:r>
                  <m:t>i</m:t>
                </m:r>
              </m:sub>
            </m:sSub>
            <m:d>
              <m:dPr>
                <m:begChr m:val="("/>
                <m:endChr m:val=")"/>
                <m:sepChr m:val=""/>
                <m:grow/>
              </m:dPr>
              <m:e>
                <m:r>
                  <m:t>1</m:t>
                </m:r>
                <m:r>
                  <m:rPr>
                    <m:sty m:val="p"/>
                  </m:rPr>
                  <m:t>−</m:t>
                </m:r>
                <m:sSub>
                  <m:e>
                    <m:r>
                      <m:t>τ</m:t>
                    </m:r>
                  </m:e>
                  <m:sub>
                    <m:r>
                      <m:t>i</m:t>
                    </m:r>
                  </m:sub>
                </m:sSub>
              </m:e>
            </m:d>
          </m:num>
          <m:den>
            <m:sSub>
              <m:e>
                <m:r>
                  <m:t>n</m:t>
                </m:r>
              </m:e>
              <m:sub>
                <m:r>
                  <m:t>j</m:t>
                </m:r>
              </m:sub>
            </m:sSub>
          </m:den>
        </m:f>
      </m:oMath>
      <w:r>
        <w:t xml:space="preserve"> </w:t>
      </w:r>
      <w:r>
        <w:t xml:space="preserve">and</w:t>
      </w:r>
      <w:r>
        <w:t xml:space="preserve"> </w:t>
      </w:r>
      <m:oMath>
        <m:sSub>
          <m:e>
            <m:r>
              <m:t>ρ</m:t>
            </m:r>
          </m:e>
          <m:sub>
            <m:sSub>
              <m:e>
                <m:r>
                  <m:t>τ</m:t>
                </m:r>
              </m:e>
              <m:sub>
                <m:r>
                  <m:t>i</m:t>
                </m:r>
                <m:r>
                  <m:rPr>
                    <m:sty m:val="p"/>
                  </m:rPr>
                  <m:t>,</m:t>
                </m:r>
                <m:r>
                  <m:t>j</m:t>
                </m:r>
              </m:sub>
            </m:sSub>
          </m:sub>
        </m:sSub>
        <m:r>
          <m:rPr>
            <m:sty m:val="p"/>
          </m:rPr>
          <m:t>=</m:t>
        </m:r>
        <m:r>
          <m:rPr>
            <m:sty m:val="p"/>
          </m:rPr>
          <m:t>−</m:t>
        </m:r>
        <m:f>
          <m:fPr>
            <m:type m:val="bar"/>
          </m:fPr>
          <m:num>
            <m:sSub>
              <m:e>
                <m:r>
                  <m:t>τ</m:t>
                </m:r>
              </m:e>
              <m:sub>
                <m:r>
                  <m:t>i</m:t>
                </m:r>
              </m:sub>
            </m:sSub>
            <m:sSub>
              <m:e>
                <m:r>
                  <m:t>τ</m:t>
                </m:r>
              </m:e>
              <m:sub>
                <m:r>
                  <m:t>j</m:t>
                </m:r>
              </m:sub>
            </m:sSub>
          </m:num>
          <m:den>
            <m:sSub>
              <m:e>
                <m:r>
                  <m:t>n</m:t>
                </m:r>
              </m:e>
              <m:sub>
                <m:r>
                  <m:t>j</m:t>
                </m:r>
              </m:sub>
            </m:sSub>
          </m:den>
        </m:f>
      </m:oMath>
      <w:r>
        <w:t xml:space="preserve">, where</w:t>
      </w:r>
      <w:r>
        <w:t xml:space="preserve"> </w:t>
      </w:r>
      <m:oMath>
        <m:sSub>
          <m:e>
            <m:r>
              <m:t>n</m:t>
            </m:r>
          </m:e>
          <m:sub>
            <m:r>
              <m:t>j</m:t>
            </m:r>
          </m:sub>
        </m:sSub>
      </m:oMath>
      <w:r>
        <w:t xml:space="preserve"> </w:t>
      </w:r>
      <w:r>
        <w:t xml:space="preserve">is the column summation of all the seeds in the relevant</w:t>
      </w:r>
      <w:r>
        <w:t xml:space="preserve"> </w:t>
      </w:r>
      <m:oMath>
        <m:sSub>
          <m:e>
            <m:r>
              <m:t>B</m:t>
            </m:r>
          </m:e>
          <m:sub>
            <m:r>
              <m:t>τ</m:t>
            </m:r>
          </m:sub>
        </m:sSub>
      </m:oMath>
      <w:r>
        <w:t xml:space="preserve"> </w:t>
      </w:r>
      <w:r>
        <w:t xml:space="preserve">matrix.</w:t>
      </w:r>
    </w:p>
    <w:p>
      <w:pPr>
        <w:pStyle w:val="BodyText"/>
      </w:pPr>
      <m:oMathPara>
        <m:oMathParaPr>
          <m:jc m:val="center"/>
        </m:oMathParaPr>
        <m:oMath>
          <m:sSub>
            <m:e>
              <m:r>
                <m:rPr>
                  <m:sty m:val="b"/>
                </m:rPr>
                <m:t>V</m:t>
              </m:r>
            </m:e>
            <m:sub>
              <m:r>
                <m:rPr>
                  <m:sty m:val="b"/>
                </m:rPr>
                <m:t>τ</m:t>
              </m:r>
              <m:d>
                <m:dPr>
                  <m:begChr m:val="("/>
                  <m:endChr m:val=")"/>
                  <m:sepChr m:val=""/>
                  <m:grow/>
                </m:dPr>
                <m:e>
                  <m:r>
                    <m:rPr>
                      <m:sty m:val="b"/>
                    </m:rPr>
                    <m:t>s</m:t>
                  </m:r>
                </m:e>
              </m:d>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τ</m:t>
                            </m:r>
                          </m:e>
                          <m:sub>
                            <m:r>
                              <m:t>11</m:t>
                            </m:r>
                            <m:r>
                              <m:rPr>
                                <m:sty m:val="p"/>
                              </m:rPr>
                              <m:t>,</m:t>
                            </m:r>
                            <m:r>
                              <m:t>s</m:t>
                            </m:r>
                          </m:sub>
                        </m:sSub>
                      </m:sub>
                    </m:sSub>
                  </m:e>
                  <m:e>
                    <m:sSub>
                      <m:e>
                        <m:r>
                          <m:t>ρ</m:t>
                        </m:r>
                      </m:e>
                      <m:sub>
                        <m:sSub>
                          <m:e>
                            <m:r>
                              <m:t>τ</m:t>
                            </m:r>
                          </m:e>
                          <m:sub>
                            <m:r>
                              <m:t>21</m:t>
                            </m:r>
                            <m:r>
                              <m:rPr>
                                <m:sty m:val="p"/>
                              </m:rPr>
                              <m:t>,</m:t>
                            </m:r>
                            <m:r>
                              <m:t>s</m:t>
                            </m:r>
                          </m:sub>
                        </m:sSub>
                      </m:sub>
                    </m:sSub>
                  </m:e>
                </m:mr>
                <m:mr>
                  <m:e>
                    <m:sSub>
                      <m:e>
                        <m:r>
                          <m:t>ρ</m:t>
                        </m:r>
                      </m:e>
                      <m:sub>
                        <m:sSub>
                          <m:e>
                            <m:r>
                              <m:t>τ</m:t>
                            </m:r>
                          </m:e>
                          <m:sub>
                            <m:r>
                              <m:t>12</m:t>
                            </m:r>
                            <m:r>
                              <m:rPr>
                                <m:sty m:val="p"/>
                              </m:rPr>
                              <m:t>,</m:t>
                            </m:r>
                            <m:r>
                              <m:t>s</m:t>
                            </m:r>
                          </m:sub>
                        </m:sSub>
                      </m:sub>
                    </m:sSub>
                  </m:e>
                  <m:e>
                    <m:sSub>
                      <m:e>
                        <m:r>
                          <m:t>v</m:t>
                        </m:r>
                      </m:e>
                      <m:sub>
                        <m:sSub>
                          <m:e>
                            <m:r>
                              <m:t>τ</m:t>
                            </m:r>
                          </m:e>
                          <m:sub>
                            <m:r>
                              <m:t>22</m:t>
                            </m:r>
                            <m:r>
                              <m:rPr>
                                <m:sty m:val="p"/>
                              </m:rPr>
                              <m:t>,</m:t>
                            </m:r>
                            <m:r>
                              <m:t>s</m:t>
                            </m:r>
                          </m:sub>
                        </m:sSub>
                      </m:sub>
                    </m:sSub>
                  </m:e>
                </m:mr>
              </m:m>
            </m:e>
          </m:d>
        </m:oMath>
      </m:oMathPara>
    </w:p>
    <w:p>
      <w:pPr>
        <w:pStyle w:val="FirstParagraph"/>
      </w:pPr>
      <w:r>
        <w:t xml:space="preserve">and</w:t>
      </w:r>
    </w:p>
    <w:p>
      <w:pPr>
        <w:pStyle w:val="BodyText"/>
      </w:pPr>
      <m:oMathPara>
        <m:oMathParaPr>
          <m:jc m:val="center"/>
        </m:oMathParaPr>
        <m:oMath>
          <m:sSub>
            <m:e>
              <m:r>
                <m:rPr>
                  <m:sty m:val="b"/>
                </m:rPr>
                <m:t>V</m:t>
              </m:r>
            </m:e>
            <m:sub>
              <m:r>
                <m:rPr>
                  <m:sty m:val="b"/>
                </m:rPr>
                <m:t>τ</m:t>
              </m:r>
              <m:d>
                <m:dPr>
                  <m:begChr m:val="("/>
                  <m:endChr m:val=")"/>
                  <m:sepChr m:val=""/>
                  <m:grow/>
                </m:dPr>
                <m:e>
                  <m:r>
                    <m:rPr>
                      <m:sty m:val="b"/>
                    </m:rPr>
                    <m:t>f</m:t>
                  </m:r>
                </m:e>
              </m:d>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τ</m:t>
                            </m:r>
                          </m:e>
                          <m:sub>
                            <m:r>
                              <m:t>11</m:t>
                            </m:r>
                            <m:r>
                              <m:rPr>
                                <m:sty m:val="p"/>
                              </m:rPr>
                              <m:t>,</m:t>
                            </m:r>
                            <m:r>
                              <m:t>f</m:t>
                            </m:r>
                          </m:sub>
                        </m:sSub>
                      </m:sub>
                    </m:sSub>
                  </m:e>
                  <m:e>
                    <m:sSub>
                      <m:e>
                        <m:r>
                          <m:t>ρ</m:t>
                        </m:r>
                      </m:e>
                      <m:sub>
                        <m:sSub>
                          <m:e>
                            <m:r>
                              <m:t>τ</m:t>
                            </m:r>
                          </m:e>
                          <m:sub>
                            <m:r>
                              <m:t>21</m:t>
                            </m:r>
                            <m:r>
                              <m:rPr>
                                <m:sty m:val="p"/>
                              </m:rPr>
                              <m:t>,</m:t>
                            </m:r>
                            <m:r>
                              <m:t>f</m:t>
                            </m:r>
                          </m:sub>
                        </m:sSub>
                      </m:sub>
                    </m:sSub>
                  </m:e>
                </m:mr>
                <m:mr>
                  <m:e>
                    <m:sSub>
                      <m:e>
                        <m:r>
                          <m:t>ρ</m:t>
                        </m:r>
                      </m:e>
                      <m:sub>
                        <m:sSub>
                          <m:e>
                            <m:r>
                              <m:t>τ</m:t>
                            </m:r>
                          </m:e>
                          <m:sub>
                            <m:r>
                              <m:t>12</m:t>
                            </m:r>
                            <m:r>
                              <m:rPr>
                                <m:sty m:val="p"/>
                              </m:rPr>
                              <m:t>,</m:t>
                            </m:r>
                            <m:r>
                              <m:t>f</m:t>
                            </m:r>
                          </m:sub>
                        </m:sSub>
                      </m:sub>
                    </m:sSub>
                  </m:e>
                  <m:e>
                    <m:sSub>
                      <m:e>
                        <m:r>
                          <m:t>v</m:t>
                        </m:r>
                      </m:e>
                      <m:sub>
                        <m:sSub>
                          <m:e>
                            <m:r>
                              <m:t>τ</m:t>
                            </m:r>
                          </m:e>
                          <m:sub>
                            <m:r>
                              <m:t>22</m:t>
                            </m:r>
                            <m:r>
                              <m:rPr>
                                <m:sty m:val="p"/>
                              </m:rPr>
                              <m:t>,</m:t>
                            </m:r>
                            <m:r>
                              <m:t>f</m:t>
                            </m:r>
                          </m:sub>
                        </m:sSub>
                      </m:sub>
                    </m:sSub>
                  </m:e>
                </m:mr>
              </m:m>
            </m:e>
          </m:d>
        </m:oMath>
      </m:oMathPara>
    </w:p>
    <w:bookmarkEnd w:id="37"/>
    <w:bookmarkStart w:id="38" w:name="seed-emergence"/>
    <w:p>
      <w:pPr>
        <w:pStyle w:val="Heading4"/>
      </w:pPr>
      <w:r>
        <w:t xml:space="preserve">Seed emergence</w:t>
      </w:r>
    </w:p>
    <w:p>
      <w:pPr>
        <w:pStyle w:val="FirstParagraph"/>
      </w:pPr>
      <w:r>
        <w:t xml:space="preserve">The diagonals of</w:t>
      </w:r>
      <w:r>
        <w:t xml:space="preserve"> </w:t>
      </w:r>
      <m:oMath>
        <m:sSub>
          <m:e>
            <m:r>
              <m:t>V</m:t>
            </m:r>
          </m:e>
          <m:sub>
            <m:r>
              <m:t>γ</m:t>
            </m:r>
          </m:sub>
        </m:sSub>
      </m:oMath>
      <w:r>
        <w:t xml:space="preserve"> </w:t>
      </w:r>
      <w:r>
        <w:t xml:space="preserve">were filled with</w:t>
      </w:r>
      <w:r>
        <w:t xml:space="preserve"> </w:t>
      </w:r>
      <m:oMath>
        <m:f>
          <m:fPr>
            <m:type m:val="bar"/>
          </m:fPr>
          <m:num>
            <m:r>
              <m:t>p</m:t>
            </m:r>
            <m:r>
              <m:t>i</m:t>
            </m:r>
            <m:d>
              <m:dPr>
                <m:begChr m:val="("/>
                <m:endChr m:val=")"/>
                <m:sepChr m:val=""/>
                <m:grow/>
              </m:dPr>
              <m:e>
                <m:r>
                  <m:t>1</m:t>
                </m:r>
                <m:r>
                  <m:rPr>
                    <m:sty m:val="p"/>
                  </m:rPr>
                  <m:t>−</m:t>
                </m:r>
                <m:sSub>
                  <m:e>
                    <m:r>
                      <m:t>p</m:t>
                    </m:r>
                  </m:e>
                  <m:sub>
                    <m:r>
                      <m:t>i</m:t>
                    </m:r>
                  </m:sub>
                </m:sSub>
              </m:e>
            </m:d>
          </m:num>
          <m:den>
            <m:r>
              <m:t>n</m:t>
            </m:r>
          </m:den>
        </m:f>
      </m:oMath>
      <w:r>
        <w:t xml:space="preserve"> </w:t>
      </w:r>
      <w:r>
        <w:t xml:space="preserve">and other elements, where</w:t>
      </w:r>
      <w:r>
        <w:t xml:space="preserve"> </w:t>
      </w:r>
      <m:oMath>
        <m:r>
          <m:t>i</m:t>
        </m:r>
        <m:r>
          <m:rPr>
            <m:sty m:val="p"/>
          </m:rPr>
          <m:t>≠</m:t>
        </m:r>
        <m:r>
          <m:t>j</m:t>
        </m:r>
      </m:oMath>
      <w:r>
        <w:t xml:space="preserve">, were filled with</w:t>
      </w:r>
      <w:r>
        <w:t xml:space="preserve"> </w:t>
      </w:r>
      <m:oMath>
        <m:f>
          <m:fPr>
            <m:type m:val="bar"/>
          </m:fPr>
          <m:num>
            <m:r>
              <m:rPr>
                <m:sty m:val="p"/>
              </m:rPr>
              <m:t>−</m:t>
            </m:r>
            <m:sSub>
              <m:e>
                <m:r>
                  <m:t>p</m:t>
                </m:r>
              </m:e>
              <m:sub>
                <m:r>
                  <m:t>i</m:t>
                </m:r>
              </m:sub>
            </m:sSub>
            <m:sSub>
              <m:e>
                <m:r>
                  <m:t>p</m:t>
                </m:r>
              </m:e>
              <m:sub>
                <m:r>
                  <m:t>j</m:t>
                </m:r>
              </m:sub>
            </m:sSub>
          </m:num>
          <m:den>
            <m:r>
              <m:t>n</m:t>
            </m:r>
          </m:den>
        </m:f>
      </m:oMath>
      <w:r>
        <w:t xml:space="preserve">.</w:t>
      </w:r>
      <w:r>
        <w:t xml:space="preserve"> </w:t>
      </w:r>
      <m:oMath>
        <m:sSub>
          <m:e>
            <m:r>
              <m:t>p</m:t>
            </m:r>
          </m:e>
          <m:sub>
            <m:r>
              <m:t>k</m:t>
            </m:r>
          </m:sub>
        </m:sSub>
      </m:oMath>
      <w:r>
        <w:t xml:space="preserve"> </w:t>
      </w:r>
      <w:r>
        <w:t xml:space="preserve">is the proportion of seedling emerge at cohort k. The off-diagonal of the</w:t>
      </w:r>
      <w:r>
        <w:t xml:space="preserve"> </w:t>
      </w:r>
      <m:oMath>
        <m:sSub>
          <m:e>
            <m:r>
              <m:t>M</m:t>
            </m:r>
          </m:e>
          <m:sub>
            <m:r>
              <m:t>s</m:t>
            </m:r>
          </m:sub>
        </m:sSub>
      </m:oMath>
      <w:r>
        <w:t xml:space="preserve"> </w:t>
      </w:r>
      <w:r>
        <w:t xml:space="preserve">and the second column of the</w:t>
      </w:r>
      <w:r>
        <w:t xml:space="preserve"> </w:t>
      </w:r>
      <m:oMath>
        <m:sSub>
          <m:e>
            <m:r>
              <m:t>M</m:t>
            </m:r>
          </m:e>
          <m:sub>
            <m:r>
              <m:t>s</m:t>
            </m:r>
            <m:r>
              <m:rPr>
                <m:sty m:val="p"/>
              </m:rPr>
              <m:t>,</m:t>
            </m:r>
            <m:r>
              <m:t>p</m:t>
            </m:r>
          </m:sub>
        </m:sSub>
      </m:oMath>
      <w:r>
        <w:t xml:space="preserve"> </w:t>
      </w:r>
      <w:r>
        <w:t xml:space="preserve">are zeros because we assumed no emergence from the 2-20 cm soil stratum and that the seed emergence from the 0-2 cm soil stratum is independent of the 2-20 stratum soil seedbank density.</w:t>
      </w:r>
    </w:p>
    <w:p>
      <w:pPr>
        <w:pStyle w:val="BodyText"/>
      </w:pPr>
      <m:oMathPara>
        <m:oMathParaPr>
          <m:jc m:val="center"/>
        </m:oMathParaPr>
        <m:oMath>
          <m:sSub>
            <m:e>
              <m:r>
                <m:rPr>
                  <m:sty m:val="b"/>
                </m:rPr>
                <m:t>V</m:t>
              </m:r>
            </m:e>
            <m:sub>
              <m:r>
                <m:rPr>
                  <m:sty m:val="b"/>
                </m:rPr>
                <m:t>γ</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f>
                      <m:fPr>
                        <m:type m:val="bar"/>
                      </m:fPr>
                      <m:num>
                        <m:d>
                          <m:dPr>
                            <m:begChr m:val="("/>
                            <m:endChr m:val=")"/>
                            <m:sepChr m:val=""/>
                            <m:grow/>
                          </m:dPr>
                          <m:e>
                            <m:r>
                              <m:t>1</m:t>
                            </m:r>
                            <m:r>
                              <m:rPr>
                                <m:sty m:val="p"/>
                              </m:rPr>
                              <m:t>−</m:t>
                            </m:r>
                            <m:nary>
                              <m:naryPr>
                                <m:chr m:val="∑"/>
                                <m:limLoc m:val="undOvr"/>
                                <m:subHide m:val="0"/>
                                <m:supHide m:val="0"/>
                              </m:naryPr>
                              <m:sub>
                                <m:r>
                                  <m:t>k</m:t>
                                </m:r>
                                <m:r>
                                  <m:rPr>
                                    <m:sty m:val="p"/>
                                  </m:rPr>
                                  <m:t>=</m:t>
                                </m:r>
                                <m:r>
                                  <m:t>1</m:t>
                                </m:r>
                              </m:sub>
                              <m:sup>
                                <m:r>
                                  <m:t>6</m:t>
                                </m:r>
                              </m:sup>
                              <m:e>
                                <m:r>
                                  <m:t>​</m:t>
                                </m:r>
                              </m:e>
                            </m:nary>
                          </m:e>
                        </m:d>
                        <m:nary>
                          <m:naryPr>
                            <m:chr m:val="∑"/>
                            <m:limLoc m:val="undOvr"/>
                            <m:subHide m:val="0"/>
                            <m:supHide m:val="0"/>
                          </m:naryPr>
                          <m:sub>
                            <m:r>
                              <m:t>i</m:t>
                            </m:r>
                            <m:r>
                              <m:rPr>
                                <m:sty m:val="p"/>
                              </m:rPr>
                              <m:t>=</m:t>
                            </m:r>
                            <m:r>
                              <m:t>1</m:t>
                            </m:r>
                          </m:sub>
                          <m:sup>
                            <m:r>
                              <m:t>6</m:t>
                            </m:r>
                          </m:sup>
                          <m:e>
                            <m:r>
                              <m:t>​</m:t>
                            </m:r>
                          </m:e>
                        </m:nary>
                      </m:num>
                      <m:den>
                        <m:r>
                          <m:t>n</m:t>
                        </m:r>
                      </m:den>
                    </m:f>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f>
                      <m:fPr>
                        <m:type m:val="bar"/>
                      </m:fPr>
                      <m:num>
                        <m:d>
                          <m:dPr>
                            <m:begChr m:val="("/>
                            <m:endChr m:val=")"/>
                            <m:sepChr m:val=""/>
                            <m:grow/>
                          </m:dPr>
                          <m:e>
                            <m:r>
                              <m:t>1</m:t>
                            </m:r>
                            <m:r>
                              <m:rPr>
                                <m:sty m:val="p"/>
                              </m:rPr>
                              <m:t>−</m:t>
                            </m:r>
                            <m:nary>
                              <m:naryPr>
                                <m:chr m:val="∑"/>
                                <m:limLoc m:val="undOvr"/>
                                <m:subHide m:val="0"/>
                                <m:supHide m:val="0"/>
                              </m:naryPr>
                              <m:sub>
                                <m:r>
                                  <m:t>i</m:t>
                                </m:r>
                                <m:r>
                                  <m:rPr>
                                    <m:sty m:val="p"/>
                                  </m:rPr>
                                  <m:t>=</m:t>
                                </m:r>
                                <m:r>
                                  <m:t>1</m:t>
                                </m:r>
                              </m:sub>
                              <m:sup>
                                <m:r>
                                  <m:t>6</m:t>
                                </m:r>
                              </m:sup>
                              <m:e>
                                <m:sSub>
                                  <m:e>
                                    <m:r>
                                      <m:t>γ</m:t>
                                    </m:r>
                                  </m:e>
                                  <m:sub>
                                    <m:r>
                                      <m:t>k</m:t>
                                    </m:r>
                                  </m:sub>
                                </m:sSub>
                              </m:e>
                            </m:nary>
                          </m:e>
                        </m:d>
                        <m:sSub>
                          <m:e>
                            <m:r>
                              <m:t>γ</m:t>
                            </m:r>
                          </m:e>
                          <m:sub>
                            <m:r>
                              <m:t>3</m:t>
                            </m:r>
                          </m:sub>
                        </m:sSub>
                      </m:num>
                      <m:den>
                        <m:r>
                          <m:t>n</m:t>
                        </m:r>
                      </m:den>
                    </m:f>
                  </m:e>
                  <m:e>
                    <m:r>
                      <m:t>0</m:t>
                    </m:r>
                  </m:e>
                  <m:e>
                    <m:f>
                      <m:fPr>
                        <m:type m:val="bar"/>
                      </m:fPr>
                      <m:num>
                        <m:sSub>
                          <m:e>
                            <m:r>
                              <m:t>γ</m:t>
                            </m:r>
                          </m:e>
                          <m:sub>
                            <m:r>
                              <m:t>1</m:t>
                            </m:r>
                          </m:sub>
                        </m:sSub>
                        <m:d>
                          <m:dPr>
                            <m:begChr m:val="("/>
                            <m:endChr m:val=")"/>
                            <m:sepChr m:val=""/>
                            <m:grow/>
                          </m:dPr>
                          <m:e>
                            <m:r>
                              <m:t>1</m:t>
                            </m:r>
                            <m:r>
                              <m:rPr>
                                <m:sty m:val="p"/>
                              </m:rPr>
                              <m:t>−</m:t>
                            </m:r>
                            <m:sSub>
                              <m:e>
                                <m:r>
                                  <m:t>γ</m:t>
                                </m:r>
                              </m:e>
                              <m:sub>
                                <m:r>
                                  <m:t>1</m:t>
                                </m:r>
                              </m:sub>
                            </m:sSub>
                          </m:e>
                        </m:d>
                      </m:num>
                      <m:den>
                        <m:r>
                          <m:t>n</m:t>
                        </m:r>
                      </m:den>
                    </m:f>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f>
                      <m:fPr>
                        <m:type m:val="bar"/>
                      </m:fPr>
                      <m:num>
                        <m:sSub>
                          <m:e>
                            <m:r>
                              <m:t>γ</m:t>
                            </m:r>
                          </m:e>
                          <m:sub>
                            <m:r>
                              <m:t>1</m:t>
                            </m:r>
                          </m:sub>
                        </m:sSub>
                        <m:sSub>
                          <m:e>
                            <m:r>
                              <m:t>γ</m:t>
                            </m:r>
                          </m:e>
                          <m:sub>
                            <m:r>
                              <m:t>2</m:t>
                            </m:r>
                          </m:sub>
                        </m:sSub>
                      </m:num>
                      <m:den>
                        <m:r>
                          <m:t>n</m:t>
                        </m:r>
                      </m:den>
                    </m:f>
                  </m:e>
                  <m:e>
                    <m:f>
                      <m:fPr>
                        <m:type m:val="bar"/>
                      </m:fPr>
                      <m:num>
                        <m:sSub>
                          <m:e>
                            <m:r>
                              <m:t>γ</m:t>
                            </m:r>
                          </m:e>
                          <m:sub>
                            <m:r>
                              <m:t>2</m:t>
                            </m:r>
                          </m:sub>
                        </m:sSub>
                        <m:d>
                          <m:dPr>
                            <m:begChr m:val="("/>
                            <m:endChr m:val=")"/>
                            <m:sepChr m:val=""/>
                            <m:grow/>
                          </m:dPr>
                          <m:e>
                            <m:r>
                              <m:t>1</m:t>
                            </m:r>
                            <m:r>
                              <m:rPr>
                                <m:sty m:val="p"/>
                              </m:rPr>
                              <m:t>−</m:t>
                            </m:r>
                            <m:sSub>
                              <m:e>
                                <m:r>
                                  <m:t>γ</m:t>
                                </m:r>
                              </m:e>
                              <m:sub>
                                <m:r>
                                  <m:t>2</m:t>
                                </m:r>
                              </m:sub>
                            </m:sSub>
                          </m:e>
                        </m:d>
                      </m:num>
                      <m:den>
                        <m:r>
                          <m:t>n</m:t>
                        </m:r>
                      </m:den>
                    </m:f>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f>
                      <m:fPr>
                        <m:type m:val="bar"/>
                      </m:fPr>
                      <m:num>
                        <m:d>
                          <m:dPr>
                            <m:begChr m:val="("/>
                            <m:endChr m:val=")"/>
                            <m:sepChr m:val=""/>
                            <m:grow/>
                          </m:dPr>
                          <m:e>
                            <m:r>
                              <m:t>1</m:t>
                            </m:r>
                            <m:r>
                              <m:rPr>
                                <m:sty m:val="p"/>
                              </m:rPr>
                              <m:t>−</m:t>
                            </m:r>
                            <m:nary>
                              <m:naryPr>
                                <m:chr m:val="∑"/>
                                <m:limLoc m:val="undOvr"/>
                                <m:subHide m:val="0"/>
                                <m:supHide m:val="0"/>
                              </m:naryPr>
                              <m:sub>
                                <m:r>
                                  <m:t>i</m:t>
                                </m:r>
                                <m:r>
                                  <m:rPr>
                                    <m:sty m:val="p"/>
                                  </m:rPr>
                                  <m:t>=</m:t>
                                </m:r>
                                <m:r>
                                  <m:t>1</m:t>
                                </m:r>
                              </m:sub>
                              <m:sup>
                                <m:r>
                                  <m:t>6</m:t>
                                </m:r>
                              </m:sup>
                              <m:e>
                                <m:sSub>
                                  <m:e>
                                    <m:r>
                                      <m:t>γ</m:t>
                                    </m:r>
                                  </m:e>
                                  <m:sub>
                                    <m:r>
                                      <m:t>k</m:t>
                                    </m:r>
                                  </m:sub>
                                </m:sSub>
                              </m:e>
                            </m:nary>
                          </m:e>
                        </m:d>
                        <m:sSub>
                          <m:e>
                            <m:r>
                              <m:t>γ</m:t>
                            </m:r>
                          </m:e>
                          <m:sub>
                            <m:r>
                              <m:t>6</m:t>
                            </m:r>
                          </m:sub>
                        </m:sSub>
                      </m:num>
                      <m:den>
                        <m:r>
                          <m:t>n</m:t>
                        </m:r>
                      </m:den>
                    </m:f>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f>
                      <m:fPr>
                        <m:type m:val="bar"/>
                      </m:fPr>
                      <m:num>
                        <m:sSub>
                          <m:e>
                            <m:r>
                              <m:t>γ</m:t>
                            </m:r>
                          </m:e>
                          <m:sub>
                            <m:r>
                              <m:t>5</m:t>
                            </m:r>
                          </m:sub>
                        </m:sSub>
                        <m:sSub>
                          <m:e>
                            <m:r>
                              <m:t>γ</m:t>
                            </m:r>
                          </m:e>
                          <m:sub>
                            <m:r>
                              <m:t>6</m:t>
                            </m:r>
                          </m:sub>
                        </m:sSub>
                      </m:num>
                      <m:den>
                        <m:r>
                          <m:t>n</m:t>
                        </m:r>
                      </m:den>
                    </m:f>
                  </m:e>
                  <m:e>
                    <m:f>
                      <m:fPr>
                        <m:type m:val="bar"/>
                      </m:fPr>
                      <m:num>
                        <m:sSub>
                          <m:e>
                            <m:r>
                              <m:t>γ</m:t>
                            </m:r>
                          </m:e>
                          <m:sub>
                            <m:r>
                              <m:t>6</m:t>
                            </m:r>
                          </m:sub>
                        </m:sSub>
                        <m:d>
                          <m:dPr>
                            <m:begChr m:val="("/>
                            <m:endChr m:val=")"/>
                            <m:sepChr m:val=""/>
                            <m:grow/>
                          </m:dPr>
                          <m:e>
                            <m:r>
                              <m:t>1</m:t>
                            </m:r>
                            <m:r>
                              <m:rPr>
                                <m:sty m:val="p"/>
                              </m:rPr>
                              <m:t>−</m:t>
                            </m:r>
                            <m:sSub>
                              <m:e>
                                <m:r>
                                  <m:t>γ</m:t>
                                </m:r>
                              </m:e>
                              <m:sub>
                                <m:r>
                                  <m:t>6</m:t>
                                </m:r>
                              </m:sub>
                            </m:sSub>
                          </m:e>
                        </m:d>
                      </m:num>
                      <m:den>
                        <m:r>
                          <m:t>n</m:t>
                        </m:r>
                      </m:den>
                    </m:f>
                  </m:e>
                </m:mr>
              </m:m>
            </m:e>
          </m:d>
        </m:oMath>
      </m:oMathPara>
    </w:p>
    <w:bookmarkEnd w:id="38"/>
    <w:bookmarkStart w:id="39" w:name="summer-seedling-and-plant-survival"/>
    <w:p>
      <w:pPr>
        <w:pStyle w:val="Heading4"/>
      </w:pPr>
      <w:r>
        <w:t xml:space="preserve">Summer seedling and plant survival</w:t>
      </w:r>
    </w:p>
    <w:p>
      <w:pPr>
        <w:pStyle w:val="FirstParagraph"/>
      </w:pPr>
      <m:oMath>
        <m:sSub>
          <m:e>
            <m:r>
              <m:t>v</m:t>
            </m:r>
          </m:e>
          <m:sub>
            <m:sSub>
              <m:e>
                <m:r>
                  <m:t>σ</m:t>
                </m:r>
              </m:e>
              <m:sub>
                <m:sSub>
                  <m:e>
                    <m:r>
                      <m:t>s</m:t>
                    </m:r>
                  </m:e>
                  <m:sub>
                    <m:r>
                      <m:t>1</m:t>
                    </m:r>
                  </m:sub>
                </m:sSub>
              </m:sub>
            </m:sSub>
          </m:sub>
        </m:sSub>
      </m:oMath>
      <w:r>
        <w:t xml:space="preserve"> </w:t>
      </w:r>
      <w:r>
        <w:t xml:space="preserve">and</w:t>
      </w:r>
      <w:r>
        <w:t xml:space="preserve"> </w:t>
      </w:r>
      <m:oMath>
        <m:sSub>
          <m:e>
            <m:r>
              <m:t>v</m:t>
            </m:r>
          </m:e>
          <m:sub>
            <m:sSub>
              <m:e>
                <m:r>
                  <m:t>σ</m:t>
                </m:r>
              </m:e>
              <m:sub>
                <m:sSub>
                  <m:e>
                    <m:r>
                      <m:t>s</m:t>
                    </m:r>
                  </m:e>
                  <m:sub>
                    <m:r>
                      <m:t>2</m:t>
                    </m:r>
                  </m:sub>
                </m:sSub>
              </m:sub>
            </m:sSub>
          </m:sub>
        </m:sSub>
      </m:oMath>
      <w:r>
        <w:t xml:space="preserve"> </w:t>
      </w:r>
      <w:r>
        <w:t xml:space="preserve">elements were visually estimated from Figures 1 and 3, in</w:t>
      </w:r>
      <w:r>
        <w:t xml:space="preserve"> </w:t>
      </w:r>
      <w:r>
        <w:t xml:space="preserve">Sosnoskie et al. (2013)</w:t>
      </w:r>
      <w:r>
        <w:t xml:space="preserve"> </w:t>
      </w:r>
      <w:r>
        <w:t xml:space="preserve">because the raw data was not available. All other elements are 0 because we assumed seed survival in different strata and plant survival in different cohorts are independent of one another.</w:t>
      </w:r>
    </w:p>
    <w:p>
      <w:pPr>
        <w:pStyle w:val="BodyText"/>
      </w:pPr>
      <m:oMathPara>
        <m:oMathParaPr>
          <m:jc m:val="center"/>
        </m:oMathParaPr>
        <m:oMath>
          <m:sSub>
            <m:e>
              <m:r>
                <m:rPr>
                  <m:sty m:val="b"/>
                </m:rPr>
                <m:t>V</m:t>
              </m:r>
            </m:e>
            <m:sub>
              <m:r>
                <m:rPr>
                  <m:sty m:val="b"/>
                </m:rPr>
                <m:t>σ</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v</m:t>
                        </m:r>
                      </m:e>
                      <m:sub>
                        <m:sSub>
                          <m:e>
                            <m:r>
                              <m:t>σ</m:t>
                            </m:r>
                          </m:e>
                          <m:sub>
                            <m:sSub>
                              <m:e>
                                <m:r>
                                  <m:t>s</m:t>
                                </m:r>
                              </m:e>
                              <m:sub>
                                <m:r>
                                  <m:t>1</m:t>
                                </m:r>
                              </m:sub>
                            </m:sSub>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v</m:t>
                        </m:r>
                      </m:e>
                      <m:sub>
                        <m:sSub>
                          <m:e>
                            <m:r>
                              <m:t>σ</m:t>
                            </m:r>
                          </m:e>
                          <m:sub>
                            <m:sSub>
                              <m:e>
                                <m:r>
                                  <m:t>s</m:t>
                                </m:r>
                              </m:e>
                              <m:sub>
                                <m:r>
                                  <m:t>2</m:t>
                                </m:r>
                              </m:sub>
                            </m:sSub>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σ</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σ</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σ</m:t>
                        </m:r>
                      </m:e>
                      <m:sub>
                        <m:sSub>
                          <m:e>
                            <m:r>
                              <m:t>p</m:t>
                            </m:r>
                          </m:e>
                          <m:sub>
                            <m:r>
                              <m:t>6</m:t>
                            </m:r>
                          </m:sub>
                        </m:sSub>
                      </m:sub>
                    </m:sSub>
                  </m:e>
                </m:mr>
              </m:m>
            </m:e>
          </m:d>
        </m:oMath>
      </m:oMathPara>
    </w:p>
    <w:bookmarkEnd w:id="39"/>
    <w:bookmarkStart w:id="40" w:name="plant-fecundity-1"/>
    <w:p>
      <w:pPr>
        <w:pStyle w:val="Heading4"/>
      </w:pPr>
      <w:r>
        <w:t xml:space="preserve">Plant fecundity</w:t>
      </w:r>
    </w:p>
    <w:p>
      <w:pPr>
        <w:pStyle w:val="FirstParagraph"/>
      </w:pPr>
      <w:r>
        <w:t xml:space="preserve">The variance-covariance matrix of</w:t>
      </w:r>
      <w:r>
        <w:t xml:space="preserve"> </w:t>
      </w:r>
      <m:oMath>
        <m:sSub>
          <m:e>
            <m:r>
              <m:t>B</m:t>
            </m:r>
          </m:e>
          <m:sub>
            <m:r>
              <m:t>ϕ</m:t>
            </m:r>
          </m:sub>
        </m:sSub>
      </m:oMath>
      <w:r>
        <w:t xml:space="preserve">,</w:t>
      </w:r>
      <w:r>
        <w:t xml:space="preserve"> </w:t>
      </w:r>
      <m:oMath>
        <m:sSub>
          <m:e>
            <m:r>
              <m:t>V</m:t>
            </m:r>
          </m:e>
          <m:sub>
            <m:r>
              <m:t>ϕ</m:t>
            </m:r>
          </m:sub>
        </m:sSub>
      </m:oMath>
      <w:r>
        <w:t xml:space="preserve">, is 6x6 because this period involved plant dynamics only.</w:t>
      </w:r>
      <w:r>
        <w:t xml:space="preserve"> </w:t>
      </w:r>
      <m:oMath>
        <m:sSub>
          <m:e>
            <m:r>
              <m:t>v</m:t>
            </m:r>
          </m:e>
          <m:sub>
            <m:sSub>
              <m:e>
                <m:r>
                  <m:t>ϕ</m:t>
                </m:r>
              </m:e>
              <m:sub>
                <m:r>
                  <m:t>k</m:t>
                </m:r>
              </m:sub>
            </m:sSub>
          </m:sub>
        </m:sSub>
        <m:r>
          <m:rPr>
            <m:sty m:val="p"/>
          </m:rPr>
          <m:t>=</m:t>
        </m:r>
        <m:f>
          <m:fPr>
            <m:type m:val="bar"/>
          </m:fPr>
          <m:num>
            <m:nary>
              <m:naryPr>
                <m:chr m:val="∑"/>
                <m:limLoc m:val="undOvr"/>
                <m:subHide m:val="0"/>
                <m:supHide m:val="0"/>
              </m:naryPr>
              <m:sub>
                <m:r>
                  <m:t>f</m:t>
                </m:r>
                <m:r>
                  <m:rPr>
                    <m:sty m:val="p"/>
                  </m:rPr>
                  <m:t>=</m:t>
                </m:r>
                <m:r>
                  <m:t>1</m:t>
                </m:r>
              </m:sub>
              <m:sup>
                <m:r>
                  <m:t>z</m:t>
                </m:r>
              </m:sup>
              <m:e>
                <m:d>
                  <m:dPr>
                    <m:begChr m:val="("/>
                    <m:endChr m:val=")"/>
                    <m:sepChr m:val=""/>
                    <m:grow/>
                  </m:dPr>
                  <m:e>
                    <m:sSub>
                      <m:e>
                        <m:r>
                          <m:t>f</m:t>
                        </m:r>
                      </m:e>
                      <m:sub>
                        <m:r>
                          <m:t>z</m:t>
                        </m:r>
                      </m:sub>
                    </m:sSub>
                    <m:r>
                      <m:rPr>
                        <m:sty m:val="p"/>
                      </m:rPr>
                      <m:t>−</m:t>
                    </m:r>
                    <m:acc>
                      <m:accPr>
                        <m:chr m:val="‾"/>
                      </m:accPr>
                      <m:e>
                        <m:sSub>
                          <m:e>
                            <m:r>
                              <m:t>f</m:t>
                            </m:r>
                          </m:e>
                          <m:sub>
                            <m:r>
                              <m:t>k</m:t>
                            </m:r>
                          </m:sub>
                        </m:sSub>
                      </m:e>
                    </m:acc>
                  </m:e>
                </m:d>
              </m:e>
            </m:nary>
          </m:num>
          <m:den>
            <m:sSub>
              <m:e>
                <m:r>
                  <m:t>n</m:t>
                </m:r>
              </m:e>
              <m:sub>
                <m:r>
                  <m:t>k</m:t>
                </m:r>
              </m:sub>
            </m:sSub>
            <m:r>
              <m:rPr>
                <m:sty m:val="p"/>
              </m:rPr>
              <m:t>−</m:t>
            </m:r>
            <m:r>
              <m:t>1</m:t>
            </m:r>
          </m:den>
        </m:f>
      </m:oMath>
      <w:r>
        <w:t xml:space="preserve">, where</w:t>
      </w:r>
      <w:r>
        <w:t xml:space="preserve"> </w:t>
      </w:r>
      <m:oMath>
        <m:sSub>
          <m:e>
            <m:r>
              <m:t>f</m:t>
            </m:r>
          </m:e>
          <m:sub>
            <m:r>
              <m:t>z</m:t>
            </m:r>
          </m:sub>
        </m:sSub>
      </m:oMath>
      <w:r>
        <w:t xml:space="preserve"> </w:t>
      </w:r>
      <w:r>
        <w:t xml:space="preserve">is the fecundity of plant z in cohort k,</w:t>
      </w:r>
      <w:r>
        <w:t xml:space="preserve"> </w:t>
      </w:r>
      <m:oMath>
        <m:acc>
          <m:accPr>
            <m:chr m:val="‾"/>
          </m:accPr>
          <m:e>
            <m:sSub>
              <m:e>
                <m:r>
                  <m:t>f</m:t>
                </m:r>
              </m:e>
              <m:sub>
                <m:r>
                  <m:t>k</m:t>
                </m:r>
              </m:sub>
            </m:sSub>
          </m:e>
        </m:acc>
      </m:oMath>
      <w:r>
        <w:t xml:space="preserve"> </w:t>
      </w:r>
      <w:r>
        <w:t xml:space="preserve">is the mean fecundity of the cohort k, and</w:t>
      </w:r>
      <w:r>
        <w:t xml:space="preserve"> </w:t>
      </w:r>
      <m:oMath>
        <m:sSub>
          <m:e>
            <m:r>
              <m:t>n</m:t>
            </m:r>
          </m:e>
          <m:sub>
            <m:r>
              <m:t>k</m:t>
            </m:r>
          </m:sub>
        </m:sSub>
      </m:oMath>
      <w:r>
        <w:t xml:space="preserve"> </w:t>
      </w:r>
      <w:r>
        <w:t xml:space="preserve">is the number of plants in cohort k. Variance of a cohort that had only one sample was assigned zero.</w:t>
      </w:r>
    </w:p>
    <w:p>
      <w:pPr>
        <w:pStyle w:val="BodyText"/>
      </w:pPr>
      <m:oMathPara>
        <m:oMathParaPr>
          <m:jc m:val="center"/>
        </m:oMathParaPr>
        <m:oMath>
          <m:sSub>
            <m:e>
              <m:r>
                <m:rPr>
                  <m:sty m:val="b"/>
                </m:rPr>
                <m:t>V</m:t>
              </m:r>
            </m:e>
            <m:sub>
              <m:r>
                <m:rPr>
                  <m:sty m:val="b"/>
                </m:rPr>
                <m:t>ϕ</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
                      <m:mcPr>
                        <m:mcJc m:val="center"/>
                        <m:count m:val="1"/>
                      </m:mcPr>
                    </m:mc>
                  </m:mcs>
                </m:mPr>
                <m:mr>
                  <m:e>
                    <m:sSub>
                      <m:e>
                        <m:r>
                          <m:t>v</m:t>
                        </m:r>
                      </m:e>
                      <m:sub>
                        <m:sSub>
                          <m:e>
                            <m:r>
                              <m:t>ϕ</m:t>
                            </m:r>
                          </m:e>
                          <m:sub>
                            <m:r>
                              <m:t>1</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v</m:t>
                        </m:r>
                      </m:e>
                      <m:sub>
                        <m:sSub>
                          <m:e>
                            <m:r>
                              <m:t>ϕ</m:t>
                            </m:r>
                          </m:e>
                          <m:sub>
                            <m:r>
                              <m:t>5</m:t>
                            </m:r>
                          </m:sub>
                        </m:sSub>
                      </m:sub>
                    </m:sSub>
                  </m:e>
                  <m:e>
                    <m:r>
                      <m:rPr>
                        <m:sty m:val="p"/>
                      </m:rPr>
                      <m:t>.</m:t>
                    </m:r>
                    <m:r>
                      <m:rPr>
                        <m:sty m:val="p"/>
                      </m:rPr>
                      <m:t>.</m:t>
                    </m:r>
                    <m:r>
                      <m:rPr>
                        <m:sty m:val="p"/>
                      </m:rPr>
                      <m:t>.</m:t>
                    </m:r>
                  </m:e>
                </m:mr>
                <m:mr>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v</m:t>
                        </m:r>
                      </m:e>
                      <m:sub>
                        <m:sSub>
                          <m:e>
                            <m:r>
                              <m:t>ϕ</m:t>
                            </m:r>
                          </m:e>
                          <m:sub>
                            <m:r>
                              <m:t>6</m:t>
                            </m:r>
                          </m:sub>
                        </m:sSub>
                      </m:sub>
                    </m:sSub>
                  </m:e>
                </m:mr>
              </m:m>
            </m:e>
          </m:d>
        </m:oMath>
      </m:oMathPara>
    </w:p>
    <w:bookmarkEnd w:id="40"/>
    <w:bookmarkStart w:id="41" w:name="overwinter-survival-1"/>
    <w:p>
      <w:pPr>
        <w:pStyle w:val="Heading4"/>
      </w:pPr>
      <w:r>
        <w:t xml:space="preserve">Overwinter survival</w:t>
      </w:r>
    </w:p>
    <w:p>
      <w:pPr>
        <w:pStyle w:val="FirstParagraph"/>
      </w:pPr>
      <w:r>
        <w:t xml:space="preserve">Similar to</w:t>
      </w:r>
      <w:r>
        <w:t xml:space="preserve"> </w:t>
      </w:r>
      <m:oMath>
        <m:sSub>
          <m:e>
            <m:r>
              <m:t>V</m:t>
            </m:r>
          </m:e>
          <m:sub>
            <m:r>
              <m:t>σ</m:t>
            </m:r>
          </m:sub>
        </m:sSub>
      </m:oMath>
      <w:r>
        <w:t xml:space="preserve">, the variance-covariance matrix of</w:t>
      </w:r>
      <w:r>
        <w:t xml:space="preserve"> </w:t>
      </w:r>
      <m:oMath>
        <m:sSub>
          <m:e>
            <m:r>
              <m:t>B</m:t>
            </m:r>
          </m:e>
          <m:sub>
            <m:r>
              <m:t>ω</m:t>
            </m:r>
          </m:sub>
        </m:sSub>
      </m:oMath>
      <w:r>
        <w:t xml:space="preserve">,</w:t>
      </w:r>
      <w:r>
        <w:t xml:space="preserve"> </w:t>
      </w:r>
      <m:oMath>
        <m:sSub>
          <m:e>
            <m:r>
              <m:t>V</m:t>
            </m:r>
          </m:e>
          <m:sub>
            <m:r>
              <m:t>ω</m:t>
            </m:r>
          </m:sub>
        </m:sSub>
      </m:oMath>
      <w:r>
        <w:t xml:space="preserve">, is 2x2 because this stage involved seed dynamics only. The</w:t>
      </w:r>
      <w:r>
        <w:t xml:space="preserve"> </w:t>
      </w:r>
      <m:oMath>
        <m:sSub>
          <m:e>
            <m:r>
              <m:t>v</m:t>
            </m:r>
          </m:e>
          <m:sub>
            <m:sSub>
              <m:e>
                <m:r>
                  <m:t>ω</m:t>
                </m:r>
              </m:e>
              <m:sub>
                <m:r>
                  <m:t>11</m:t>
                </m:r>
              </m:sub>
            </m:sSub>
          </m:sub>
        </m:sSub>
      </m:oMath>
      <w:r>
        <w:t xml:space="preserve"> </w:t>
      </w:r>
      <w:r>
        <w:t xml:space="preserve">and</w:t>
      </w:r>
      <w:r>
        <w:t xml:space="preserve"> </w:t>
      </w:r>
      <m:oMath>
        <m:sSub>
          <m:e>
            <m:r>
              <m:t>v</m:t>
            </m:r>
          </m:e>
          <m:sub>
            <m:sSub>
              <m:e>
                <m:r>
                  <m:t>ω</m:t>
                </m:r>
              </m:e>
              <m:sub>
                <m:r>
                  <m:t>22</m:t>
                </m:r>
              </m:sub>
            </m:sSub>
          </m:sub>
        </m:sSub>
      </m:oMath>
      <w:r>
        <w:t xml:space="preserve"> </w:t>
      </w:r>
      <w:r>
        <w:t xml:space="preserve">elements were visually estimated from Figures 1 and 3, in</w:t>
      </w:r>
      <w:r>
        <w:t xml:space="preserve"> </w:t>
      </w:r>
      <w:r>
        <w:t xml:space="preserve">Sosnoskie et al. (2013)</w:t>
      </w:r>
      <w:r>
        <w:t xml:space="preserve"> </w:t>
      </w:r>
      <w:r>
        <w:t xml:space="preserve">because the raw data was not available.</w:t>
      </w:r>
    </w:p>
    <w:p>
      <w:pPr>
        <w:pStyle w:val="BodyText"/>
      </w:pPr>
      <m:oMathPara>
        <m:oMathParaPr>
          <m:jc m:val="center"/>
        </m:oMathParaPr>
        <m:oMath>
          <m:sSub>
            <m:e>
              <m:r>
                <m:rPr>
                  <m:sty m:val="b"/>
                </m:rPr>
                <m:t>V</m:t>
              </m:r>
            </m:e>
            <m:sub>
              <m:r>
                <m:rPr>
                  <m:sty m:val="b"/>
                </m:rPr>
                <m:t>ω</m:t>
              </m:r>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ω</m:t>
                            </m:r>
                          </m:e>
                          <m:sub>
                            <m:r>
                              <m:t>11</m:t>
                            </m:r>
                          </m:sub>
                        </m:sSub>
                      </m:sub>
                    </m:sSub>
                  </m:e>
                  <m:e>
                    <m:r>
                      <m:t>0</m:t>
                    </m:r>
                  </m:e>
                </m:mr>
                <m:mr>
                  <m:e>
                    <m:r>
                      <m:t>0</m:t>
                    </m:r>
                  </m:e>
                  <m:e>
                    <m:sSub>
                      <m:e>
                        <m:r>
                          <m:t>v</m:t>
                        </m:r>
                      </m:e>
                      <m:sub>
                        <m:sSub>
                          <m:e>
                            <m:r>
                              <m:t>ω</m:t>
                            </m:r>
                          </m:e>
                          <m:sub>
                            <m:r>
                              <m:t>22</m:t>
                            </m:r>
                          </m:sub>
                        </m:sSub>
                      </m:sub>
                    </m:sSub>
                  </m:e>
                </m:mr>
              </m:m>
            </m:e>
          </m:d>
        </m:oMath>
      </m:oMathPara>
    </w:p>
    <w:bookmarkEnd w:id="41"/>
    <w:bookmarkEnd w:id="42"/>
    <w:bookmarkStart w:id="45" w:name="modeling"/>
    <w:p>
      <w:pPr>
        <w:pStyle w:val="Heading3"/>
      </w:pPr>
      <w:r>
        <w:t xml:space="preserve">Modeling</w:t>
      </w:r>
    </w:p>
    <w:p>
      <w:pPr>
        <w:pStyle w:val="FirstParagraph"/>
      </w:pPr>
      <w:r>
        <w:t xml:space="preserve">Within a year, waterhemp population projection from time</w:t>
      </w:r>
      <w:r>
        <w:t xml:space="preserve"> </w:t>
      </w:r>
      <m:oMath>
        <m:r>
          <m:t>k</m:t>
        </m:r>
      </m:oMath>
      <w:r>
        <w:t xml:space="preserve"> </w:t>
      </w:r>
      <w:r>
        <w:t xml:space="preserve">to</w:t>
      </w:r>
      <w:r>
        <w:t xml:space="preserve"> </w:t>
      </w:r>
      <m:oMath>
        <m:r>
          <m:t>k</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k</m:t>
              </m:r>
              <m:r>
                <m:rPr>
                  <m:sty m:val="p"/>
                </m:rPr>
                <m:t>+</m:t>
              </m:r>
              <m:r>
                <m:t>1</m:t>
              </m:r>
            </m:sub>
          </m:sSub>
          <m:r>
            <m:rPr>
              <m:sty m:val="p"/>
            </m:rPr>
            <m:t>=</m:t>
          </m:r>
          <m:sSub>
            <m:e>
              <m:r>
                <m:t>B</m:t>
              </m:r>
            </m:e>
            <m:sub>
              <m:r>
                <m:t>k</m:t>
              </m:r>
            </m:sub>
          </m:sSub>
          <m:r>
            <m:rPr>
              <m:sty m:val="p"/>
            </m:rPr>
            <m:t>*</m:t>
          </m:r>
          <m:sSub>
            <m:e>
              <m:r>
                <m:t>N</m:t>
              </m:r>
            </m:e>
            <m:sub>
              <m:r>
                <m:t>k</m:t>
              </m:r>
            </m:sub>
          </m:sSub>
        </m:oMath>
      </m:oMathPara>
    </w:p>
    <w:p>
      <w:pPr>
        <w:pStyle w:val="FirstParagraph"/>
      </w:pPr>
      <w:r>
        <w:br/>
      </w:r>
      <w:r>
        <w:t xml:space="preserve">where,</w:t>
      </w:r>
      <w:r>
        <w:br/>
      </w:r>
      <m:oMath>
        <m:sSub>
          <m:e>
            <m:r>
              <m:rPr>
                <m:sty m:val="p"/>
                <m:scr m:val="script"/>
              </m:rPr>
              <m:t>B</m:t>
            </m:r>
          </m:e>
          <m:sub>
            <m:r>
              <m:rPr>
                <m:sty m:val="p"/>
                <m:scr m:val="script"/>
              </m:rPr>
              <m:t>k</m:t>
            </m:r>
          </m:sub>
        </m:sSub>
      </m:oMath>
      <w:r>
        <w:t xml:space="preserve"> </w:t>
      </w:r>
      <w:r>
        <w:t xml:space="preserve">is the square transition matrix from time</w:t>
      </w:r>
      <w:r>
        <w:t xml:space="preserve"> </w:t>
      </w:r>
      <m:oMath>
        <m:r>
          <m:t>k</m:t>
        </m:r>
      </m:oMath>
      <w:r>
        <w:t xml:space="preserve"> </w:t>
      </w:r>
      <w:r>
        <w:t xml:space="preserve">to time</w:t>
      </w:r>
      <w:r>
        <w:t xml:space="preserve"> </w:t>
      </w:r>
      <m:oMath>
        <m:r>
          <m:t>k</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dormancy is calculated with</w:t>
      </w:r>
    </w:p>
    <w:p>
      <w:pPr>
        <w:pStyle w:val="BodyText"/>
      </w:pPr>
      <m:oMathPara>
        <m:oMathParaPr>
          <m:jc m:val="center"/>
        </m:oMathParaPr>
        <m:oMath>
          <m:sSub>
            <m:e>
              <m:r>
                <m:t>N</m:t>
              </m:r>
            </m:e>
            <m:sub>
              <m:sSub>
                <m:e>
                  <m:r>
                    <m:t>r</m:t>
                  </m:r>
                </m:e>
                <m:sub>
                  <m:r>
                    <m:t>c</m:t>
                  </m:r>
                  <m:r>
                    <m:rPr>
                      <m:sty m:val="p"/>
                    </m:rPr>
                    <m:t>,</m:t>
                  </m:r>
                  <m:r>
                    <m:t>k</m:t>
                  </m:r>
                  <m:r>
                    <m:rPr>
                      <m:sty m:val="p"/>
                    </m:rPr>
                    <m:t>+</m:t>
                  </m:r>
                  <m:r>
                    <m:t>1</m:t>
                  </m:r>
                </m:sub>
              </m:sSub>
            </m:sub>
          </m:sSub>
          <m:r>
            <m:rPr>
              <m:sty m:val="p"/>
            </m:rPr>
            <m:t>=</m:t>
          </m:r>
          <m:sSub>
            <m:e>
              <m:r>
                <m:t>N</m:t>
              </m:r>
            </m:e>
            <m:sub>
              <m:sSub>
                <m:e>
                  <m:r>
                    <m:t>r</m:t>
                  </m:r>
                </m:e>
                <m:sub>
                  <m:r>
                    <m:t>c</m:t>
                  </m:r>
                  <m:r>
                    <m:rPr>
                      <m:sty m:val="p"/>
                    </m:rPr>
                    <m:t>,</m:t>
                  </m:r>
                  <m:r>
                    <m:t>h</m:t>
                  </m:r>
                </m:sub>
              </m:sSub>
            </m:sub>
          </m:sSub>
          <m:r>
            <m:rPr>
              <m:sty m:val="p"/>
            </m:rPr>
            <m:t>*</m:t>
          </m:r>
          <m:nary>
            <m:naryPr>
              <m:chr m:val="∏"/>
              <m:limLoc m:val="undOvr"/>
              <m:subHide m:val="0"/>
              <m:supHide m:val="0"/>
            </m:naryPr>
            <m:sub>
              <m:r>
                <m:t>k</m:t>
              </m:r>
              <m:r>
                <m:rPr>
                  <m:sty m:val="p"/>
                </m:rPr>
                <m:t>=</m:t>
              </m:r>
              <m:r>
                <m:t>1</m:t>
              </m:r>
            </m:sub>
            <m:sup>
              <m:r>
                <m:t>6</m:t>
              </m:r>
            </m:sup>
            <m:e>
              <m:sSub>
                <m:e>
                  <m:r>
                    <m:t>B</m:t>
                  </m:r>
                </m:e>
                <m:sub>
                  <m:r>
                    <m:t>k</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Leslie’s population matrix in crop phase</w:t>
      </w:r>
      <w:r>
        <w:t xml:space="preserve"> </w:t>
      </w:r>
      <m:oMath>
        <m:sSup>
          <m:e>
            <m:r>
              <m:t>c</m:t>
            </m:r>
          </m:e>
          <m:sup>
            <m:r>
              <m:t>t</m:t>
            </m:r>
            <m:r>
              <m:t>h</m:t>
            </m:r>
          </m:sup>
        </m:sSup>
      </m:oMath>
      <w:r>
        <w:t xml:space="preserve">, and</w:t>
      </w:r>
      <w:r>
        <w:t xml:space="preserve"> </w:t>
      </w:r>
      <w:r>
        <w:t xml:space="preserve">(Leslie, 1945)</w:t>
      </w:r>
      <w:r>
        <w:br/>
      </w:r>
      <m:oMath>
        <m:sSub>
          <m:e>
            <m:r>
              <m:t>B</m:t>
            </m:r>
          </m:e>
          <m:sub>
            <m:r>
              <m:t>k</m:t>
            </m:r>
          </m:sub>
        </m:sSub>
      </m:oMath>
      <w:r>
        <w:t xml:space="preserve"> </w:t>
      </w:r>
      <w:r>
        <w:t xml:space="preserve">is the population transition matrix during summer</w:t>
      </w:r>
    </w:p>
    <w:p>
      <w:pPr>
        <w:pStyle w:val="BodyText"/>
      </w:pPr>
      <w:r>
        <w:t xml:space="preserve">The main factors that contribute to the success of the control practices are tillage regime, chemical herbicide, cultivation practice and crops’ competitiveness.</w:t>
      </w:r>
      <w:r>
        <w:t xml:space="preserve"> </w:t>
      </w:r>
      <w:r>
        <w:t xml:space="preserve">Among those four factors, crop competitiveness will not be factorized because this factor is dependent on other factors.</w:t>
      </w:r>
    </w:p>
    <w:p>
      <w:pPr>
        <w:pStyle w:val="BodyText"/>
      </w:pPr>
      <w:r>
        <w:t xml:space="preserve">The following parameters were collected and plugged into a general population model to examine when and where large changes in population dynamics might occur.</w:t>
      </w:r>
      <w:r>
        <w:t xml:space="preserve"> </w:t>
      </w:r>
      <w:r>
        <w:t xml:space="preserve">The list of parameters and the corresponding formula is presented in Table 4.1 below.</w:t>
      </w:r>
    </w:p>
    <w:p>
      <w:pPr>
        <w:pStyle w:val="BodyText"/>
      </w:pPr>
      <w:r>
        <w:t xml:space="preserve">Matrix calculation in this study was performed in R version 4.2.0</w:t>
      </w:r>
      <w:r>
        <w:t xml:space="preserve"> </w:t>
      </w:r>
      <w:r>
        <w:t xml:space="preserve">(R Development Core Team, 2022)</w:t>
      </w:r>
      <w:r>
        <w:t xml:space="preserve">. The population growth rate,</w:t>
      </w:r>
      <w:r>
        <w:t xml:space="preserve"> </w:t>
      </w:r>
      <m:oMath>
        <m:r>
          <m:t>λ</m:t>
        </m:r>
      </m:oMath>
      <w:r>
        <w:t xml:space="preserve">, sensitivity and elasticity were calculated with</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w:t>
      </w:r>
    </w:p>
    <w:bookmarkStart w:id="43"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low herbicide the treatment of interest. Following</w:t>
      </w:r>
      <w:r>
        <w:t xml:space="preserve"> </w:t>
      </w:r>
      <w:r>
        <w:t xml:space="preserve">Caswell and Trevisan (1994)</w:t>
      </w:r>
      <w:r>
        <w:t xml:space="preserve">’s notions.</w:t>
      </w:r>
    </w:p>
    <w:p>
      <w:pPr>
        <w:pStyle w:val="BodyText"/>
      </w:pPr>
      <w:r>
        <w:t xml:space="preserve">The sensitivities of</w:t>
      </w:r>
      <w:r>
        <w:t xml:space="preserve"> </w:t>
      </w:r>
      <m:oMath>
        <m:r>
          <m:t>λ</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w:t>
      </w:r>
      <w:r>
        <w:t xml:space="preserve"> </w:t>
      </w:r>
      <w:r>
        <w:rPr>
          <w:iCs/>
          <w:i/>
        </w:rPr>
        <w:t xml:space="preserve">and variance of</w:t>
      </w:r>
      <w:r>
        <w:rPr>
          <w:iCs/>
          <w:i/>
        </w:rPr>
        <w:t xml:space="preserve"> </w:t>
      </w:r>
      <m:oMath>
        <m:r>
          <m:t>λ</m:t>
        </m:r>
      </m:oMath>
      <w:r>
        <w:t xml:space="preserve">.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1</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r>
          <m:t>λ</m:t>
        </m:r>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γ</m:t>
                </m:r>
              </m:sub>
            </m:sSub>
          </m:sub>
        </m:sSub>
      </m:oMath>
      <w:r>
        <w:t xml:space="preserve"> </w:t>
      </w:r>
      <w:r>
        <w:t xml:space="preserve">- sensitivity of</w:t>
      </w:r>
      <w:r>
        <w:t xml:space="preserve"> </w:t>
      </w:r>
      <m:oMath>
        <m:r>
          <m:t>λ</m:t>
        </m:r>
      </m:oMath>
      <w:r>
        <w:t xml:space="preserve"> </w:t>
      </w:r>
      <w:r>
        <w:t xml:space="preserve">to summer survival, is a 8x2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at the 0-2 cm soil stratum, seed density at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43"/>
    <w:bookmarkStart w:id="44" w:name="population-growth-rate-and-its-variance"/>
    <w:p>
      <w:pPr>
        <w:pStyle w:val="Heading4"/>
      </w:pPr>
      <w:r>
        <w:t xml:space="preserve">Population growth rate and its variance</w:t>
      </w:r>
    </w:p>
    <w:p>
      <w:pPr>
        <w:pStyle w:val="FirstParagraph"/>
      </w:pPr>
      <w:r>
        <w:t xml:space="preserve">The variance of population growth rate in each rotation was calculated with</w:t>
      </w:r>
      <w:r>
        <w:t xml:space="preserve"> </w:t>
      </w:r>
      <m:oMath>
        <m:r>
          <m:t>V</m:t>
        </m:r>
        <m:r>
          <m:t>a</m:t>
        </m:r>
        <m:r>
          <m:t>r</m:t>
        </m:r>
        <m:d>
          <m:dPr>
            <m:begChr m:val="("/>
            <m:endChr m:val=")"/>
            <m:sepChr m:val=""/>
            <m:grow/>
          </m:dPr>
          <m:e>
            <m:r>
              <m:t>λ</m:t>
            </m:r>
          </m:e>
        </m:d>
        <m:r>
          <m:rPr>
            <m:sty m:val="p"/>
          </m:rPr>
          <m:t>=</m:t>
        </m:r>
        <m:nary>
          <m:naryPr>
            <m:chr m:val="∑"/>
            <m:limLoc m:val="undOvr"/>
            <m:subHide m:val="0"/>
            <m:supHide m:val="0"/>
          </m:naryPr>
          <m:sub>
            <m:r>
              <m:t>i</m:t>
            </m:r>
          </m:sub>
          <m:sup>
            <m:r>
              <m:t>b</m:t>
            </m:r>
          </m:sup>
          <m:e>
            <m:sSubSup>
              <m:e>
                <m:r>
                  <m:t>S</m:t>
                </m:r>
              </m:e>
              <m:sub>
                <m:r>
                  <m:t>b</m:t>
                </m:r>
              </m:sub>
              <m:sup>
                <m:r>
                  <m:t>T</m:t>
                </m:r>
              </m:sup>
            </m:sSubSup>
          </m:e>
        </m:nary>
        <m:sSub>
          <m:e>
            <m:r>
              <m:t>V</m:t>
            </m:r>
          </m:e>
          <m:sub>
            <m:r>
              <m:t>b</m:t>
            </m:r>
          </m:sub>
        </m:sSub>
        <m:sSub>
          <m:e>
            <m:r>
              <m:t>S</m:t>
            </m:r>
          </m:e>
          <m:sub>
            <m:r>
              <m:t>b</m:t>
            </m:r>
          </m:sub>
        </m:sSub>
      </m:oMath>
      <w:r>
        <w:t xml:space="preserve"> </w:t>
      </w:r>
      <w:r>
        <w:t xml:space="preserve">where</w:t>
      </w:r>
      <w:r>
        <w:t xml:space="preserve"> </w:t>
      </w:r>
      <m:oMath>
        <m:sSub>
          <m:e>
            <m:r>
              <m:t>V</m:t>
            </m:r>
          </m:e>
          <m:sub>
            <m:r>
              <m:t>h</m:t>
            </m:r>
          </m:sub>
        </m:sSub>
      </m:oMath>
      <w:r>
        <w:t xml:space="preserve"> </w:t>
      </w:r>
      <w:r>
        <w:t xml:space="preserve">is the variance-covariance matrix of each</w:t>
      </w:r>
      <w:r>
        <w:t xml:space="preserve"> </w:t>
      </w:r>
      <m:oMath>
        <m:sSub>
          <m:e>
            <m:r>
              <m:t>B</m:t>
            </m:r>
          </m:e>
          <m:sub>
            <m:r>
              <m:t>h</m:t>
            </m:r>
          </m:sub>
        </m:sSub>
      </m:oMath>
      <w:r>
        <w:t xml:space="preserve"> </w:t>
      </w:r>
      <w:r>
        <w:t xml:space="preserve">matrix. The variance of annualized population growth rates (</w:t>
      </w:r>
      <m:oMath>
        <m:r>
          <m:t>V</m:t>
        </m:r>
        <m:r>
          <m:t>a</m:t>
        </m:r>
        <m:r>
          <m:t>r</m:t>
        </m:r>
        <m:d>
          <m:dPr>
            <m:begChr m:val="("/>
            <m:endChr m:val=")"/>
            <m:sepChr m:val=""/>
            <m:grow/>
          </m:dPr>
          <m:e>
            <m:sSub>
              <m:e>
                <m:r>
                  <m:t>λ</m:t>
                </m:r>
              </m:e>
              <m:sub>
                <m:r>
                  <m:t>2</m:t>
                </m:r>
              </m:sub>
            </m:sSub>
          </m:e>
        </m:d>
      </m:oMath>
      <w:r>
        <w:t xml:space="preserve">,</w:t>
      </w:r>
      <w:r>
        <w:t xml:space="preserve"> </w:t>
      </w:r>
      <m:oMath>
        <m:r>
          <m:t>V</m:t>
        </m:r>
        <m:r>
          <m:t>a</m:t>
        </m:r>
        <m:r>
          <m:t>r</m:t>
        </m:r>
        <m:d>
          <m:dPr>
            <m:begChr m:val="("/>
            <m:endChr m:val=")"/>
            <m:sepChr m:val=""/>
            <m:grow/>
          </m:dPr>
          <m:e>
            <m:sSub>
              <m:e>
                <m:r>
                  <m:t>λ</m:t>
                </m:r>
              </m:e>
              <m:sub>
                <m:r>
                  <m:t>3</m:t>
                </m:r>
              </m:sub>
            </m:sSub>
          </m:e>
        </m:d>
      </m:oMath>
      <w:r>
        <w:t xml:space="preserve">, and</w:t>
      </w:r>
      <w:r>
        <w:t xml:space="preserve"> </w:t>
      </w:r>
      <m:oMath>
        <m:r>
          <m:t>V</m:t>
        </m:r>
        <m:r>
          <m:t>a</m:t>
        </m:r>
        <m:r>
          <m:t>r</m:t>
        </m:r>
        <m:d>
          <m:dPr>
            <m:begChr m:val="("/>
            <m:endChr m:val=")"/>
            <m:sepChr m:val=""/>
            <m:grow/>
          </m:dPr>
          <m:e>
            <m:sSub>
              <m:e>
                <m:r>
                  <m:t>λ</m:t>
                </m:r>
              </m:e>
              <m:sub>
                <m:r>
                  <m:t>4</m:t>
                </m:r>
              </m:sub>
            </m:sSub>
          </m:e>
        </m:d>
      </m:oMath>
      <w:r>
        <w:t xml:space="preserve">) were calculated with Taylor series expansion using the general formula:</w:t>
      </w:r>
      <w:r>
        <w:t xml:space="preserve"> </w:t>
      </w:r>
      <m:oMath>
        <m:r>
          <m:t>V</m:t>
        </m:r>
        <m:r>
          <m:t>a</m:t>
        </m:r>
        <m:r>
          <m:t>r</m:t>
        </m:r>
        <m:d>
          <m:dPr>
            <m:begChr m:val="["/>
            <m:endChr m:val="]"/>
            <m:sepChr m:val=""/>
            <m:grow/>
          </m:dPr>
          <m:e>
            <m:r>
              <m:t>f</m:t>
            </m:r>
            <m:d>
              <m:dPr>
                <m:begChr m:val="("/>
                <m:endChr m:val=")"/>
                <m:sepChr m:val=""/>
                <m:grow/>
              </m:dPr>
              <m:e>
                <m:r>
                  <m:t>λ</m:t>
                </m:r>
              </m:e>
            </m:d>
          </m:e>
        </m:d>
        <m:r>
          <m:rPr>
            <m:sty m:val="p"/>
          </m:rPr>
          <m:t>=</m:t>
        </m:r>
        <m:sSup>
          <m:e>
            <m:r>
              <m:t>f</m:t>
            </m:r>
            <m:r>
              <m:rPr>
                <m:sty m:val="p"/>
              </m:rPr>
              <m:t>′</m:t>
            </m:r>
            <m:d>
              <m:dPr>
                <m:begChr m:val="("/>
                <m:endChr m:val=")"/>
                <m:sepChr m:val=""/>
                <m:grow/>
              </m:dPr>
              <m:e>
                <m:r>
                  <m:t>E</m:t>
                </m:r>
                <m:d>
                  <m:dPr>
                    <m:begChr m:val="("/>
                    <m:endChr m:val=")"/>
                    <m:sepChr m:val=""/>
                    <m:grow/>
                  </m:dPr>
                  <m:e>
                    <m:r>
                      <m:t>λ</m:t>
                    </m:r>
                  </m:e>
                </m:d>
              </m:e>
            </m:d>
          </m:e>
          <m:sup>
            <m:r>
              <m:t>2</m:t>
            </m:r>
          </m:sup>
        </m:sSup>
        <m:r>
          <m:t>V</m:t>
        </m:r>
        <m:r>
          <m:t>a</m:t>
        </m:r>
        <m:r>
          <m:t>r</m:t>
        </m:r>
        <m:d>
          <m:dPr>
            <m:begChr m:val="("/>
            <m:endChr m:val=")"/>
            <m:sepChr m:val=""/>
            <m:grow/>
          </m:dPr>
          <m:e>
            <m:r>
              <m:t>λ</m:t>
            </m:r>
          </m:e>
        </m:d>
      </m:oMath>
      <w:r>
        <w:t xml:space="preserve">, in which</w:t>
      </w:r>
      <w:r>
        <w:t xml:space="preserve"> </w:t>
      </w:r>
      <m:oMath>
        <m:r>
          <m:t>f</m:t>
        </m:r>
        <m:d>
          <m:dPr>
            <m:begChr m:val="("/>
            <m:endChr m:val=")"/>
            <m:sepChr m:val=""/>
            <m:grow/>
          </m:dPr>
          <m:e>
            <m:r>
              <m:t>λ</m:t>
            </m:r>
          </m:e>
        </m:d>
      </m:oMath>
      <w:r>
        <w:t xml:space="preserve"> </w:t>
      </w:r>
      <w:r>
        <w:t xml:space="preserve">is the nth-root function used to annualize the rotation-wise growth rates. For example, the variance of annualized population growth rate in the 2-year rotation was</w:t>
      </w:r>
      <w:r>
        <w:t xml:space="preserve"> </w:t>
      </w:r>
      <m:oMath>
        <m:r>
          <m:t>V</m:t>
        </m:r>
        <m:r>
          <m:t>a</m:t>
        </m:r>
        <m:r>
          <m:t>r</m:t>
        </m:r>
        <m:d>
          <m:dPr>
            <m:begChr m:val="("/>
            <m:endChr m:val=")"/>
            <m:sepChr m:val=""/>
            <m:grow/>
          </m:dPr>
          <m:e>
            <m:sSub>
              <m:e>
                <m:r>
                  <m:t>λ</m:t>
                </m:r>
              </m:e>
              <m:sub>
                <m:r>
                  <m:t>2</m:t>
                </m:r>
              </m:sub>
            </m:sSub>
          </m:e>
        </m:d>
        <m:r>
          <m:rPr>
            <m:sty m:val="p"/>
          </m:rPr>
          <m:t>=</m:t>
        </m:r>
        <m:f>
          <m:fPr>
            <m:type m:val="bar"/>
          </m:fPr>
          <m:num>
            <m:r>
              <m:t>1</m:t>
            </m:r>
          </m:num>
          <m:den>
            <m:r>
              <m:t>4</m:t>
            </m:r>
            <m:sSub>
              <m:e>
                <m:r>
                  <m:t>λ</m:t>
                </m:r>
              </m:e>
              <m:sub>
                <m:r>
                  <m:t>2</m:t>
                </m:r>
                <m:r>
                  <m:t>r</m:t>
                </m:r>
              </m:sub>
            </m:sSub>
          </m:den>
        </m:f>
        <m:r>
          <m:t>V</m:t>
        </m:r>
        <m:r>
          <m:t>a</m:t>
        </m:r>
        <m:r>
          <m:t>r</m:t>
        </m:r>
        <m:d>
          <m:dPr>
            <m:begChr m:val="("/>
            <m:endChr m:val=")"/>
            <m:sepChr m:val=""/>
            <m:grow/>
          </m:dPr>
          <m:e>
            <m:sSub>
              <m:e>
                <m:r>
                  <m:t>λ</m:t>
                </m:r>
              </m:e>
              <m:sub>
                <m:r>
                  <m:t>2</m:t>
                </m:r>
                <m:r>
                  <m:t>r</m:t>
                </m:r>
              </m:sub>
            </m:sSub>
          </m:e>
        </m:d>
      </m:oMath>
      <w:r>
        <w:t xml:space="preserve">, where</w:t>
      </w:r>
      <w:r>
        <w:t xml:space="preserve"> </w:t>
      </w:r>
      <m:oMath>
        <m:sSub>
          <m:e>
            <m:r>
              <m:t>λ</m:t>
            </m:r>
          </m:e>
          <m:sub>
            <m:r>
              <m:t>2</m:t>
            </m:r>
          </m:sub>
        </m:sSub>
        <m:r>
          <m:rPr>
            <m:sty m:val="p"/>
          </m:rPr>
          <m:t>=</m:t>
        </m:r>
        <m:rad>
          <m:radPr>
            <m:degHide m:val="1"/>
          </m:radPr>
          <m:deg/>
          <m:e>
            <m:sSub>
              <m:e>
                <m:r>
                  <m:t>λ</m:t>
                </m:r>
              </m:e>
              <m:sub>
                <m:r>
                  <m:t>2</m:t>
                </m:r>
                <m:r>
                  <m:t>r</m:t>
                </m:r>
              </m:sub>
            </m:sSub>
          </m:e>
        </m:rad>
      </m:oMath>
      <w:r>
        <w:t xml:space="preserve">.</w:t>
      </w:r>
    </w:p>
    <w:bookmarkEnd w:id="44"/>
    <w:bookmarkEnd w:id="45"/>
    <w:bookmarkStart w:id="46" w:name="X38576813a830727caa279e8b8c5885ad7512aa4"/>
    <w:p>
      <w:pPr>
        <w:pStyle w:val="Heading3"/>
      </w:pPr>
      <w:r>
        <w:t xml:space="preserve">Elasticity of population growth rate on each lower-level parameter</w:t>
      </w:r>
    </w:p>
    <w:p>
      <w:pPr>
        <w:pStyle w:val="FirstParagraph"/>
      </w:pPr>
      <w:r>
        <w:t xml:space="preserve">The elasticity of</w:t>
      </w:r>
      <w:r>
        <w:t xml:space="preserve"> </w:t>
      </w:r>
      <m:oMath>
        <m:r>
          <m:t>λ</m:t>
        </m:r>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k</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p>
    <w:p>
      <w:pPr>
        <w:pStyle w:val="BodyText"/>
      </w:pPr>
      <m:oMath>
        <m:sSub>
          <m:e>
            <m:r>
              <m:t>b</m:t>
            </m:r>
          </m:e>
          <m:sub>
            <m:r>
              <m:t>i</m:t>
            </m:r>
            <m:r>
              <m:t>j</m:t>
            </m:r>
            <m:r>
              <m:t>k</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(1).</w:t>
      </w:r>
    </w:p>
    <w:bookmarkEnd w:id="46"/>
    <w:bookmarkEnd w:id="47"/>
    <w:bookmarkStart w:id="89" w:name="results-and-discussion"/>
    <w:p>
      <w:pPr>
        <w:pStyle w:val="Heading1"/>
      </w:pPr>
      <w:r>
        <w:t xml:space="preserve">Results and discussion</w:t>
      </w:r>
    </w:p>
    <w:p>
      <w:pPr>
        <w:pStyle w:val="FirstParagraph"/>
      </w:pPr>
      <w:r>
        <w:t xml:space="preserve">All the multi-year variables failed the Levene’s test for equal variance so those data was analyzed by year.</w:t>
      </w:r>
    </w:p>
    <w:bookmarkStart w:id="53" w:name="X413fbd2b508dfcda083de6efac2e339c70114e8"/>
    <w:p>
      <w:pPr>
        <w:pStyle w:val="Heading2"/>
      </w:pPr>
      <w:r>
        <w:t xml:space="preserve">Waterhemp sub-annual demographic parameters from empirical measurement</w:t>
      </w:r>
    </w:p>
    <w:bookmarkStart w:id="51" w:name="seedling-emergence-pattern-and-timing"/>
    <w:p>
      <w:pPr>
        <w:pStyle w:val="Heading3"/>
      </w:pPr>
      <w:r>
        <w:t xml:space="preserve">Seedling emergence pattern and timing</w:t>
      </w:r>
    </w:p>
    <w:p>
      <w:pPr>
        <w:pStyle w:val="FirstParagraph"/>
      </w:pPr>
      <w:r>
        <w:t xml:space="preserve">Within the same calendar year, seedling densities were lower in the warm-season crops than in the cool-season crops (Table</w:t>
      </w:r>
      <w:r>
        <w:t xml:space="preserve"> </w:t>
      </w:r>
      <w:r>
        <w:t xml:space="preserve">??</w:t>
      </w:r>
      <w:r>
        <w:t xml:space="preserve">).</w:t>
      </w:r>
    </w:p>
    <w:p>
      <w:pPr>
        <w:pStyle w:val="BodyText"/>
      </w:pPr>
      <w:r>
        <w:t xml:space="preserve">The first cohort of waterhemp that emerged in different cohorts were significantly different crop environments (Table</w:t>
      </w:r>
      <w:r>
        <w:t xml:space="preserve"> </w:t>
      </w:r>
      <w:r>
        <w:t xml:space="preserve">2</w:t>
      </w:r>
      <w:r>
        <w:t xml:space="preserve">). Waterhemp emergence was delayed in alfalfa crop environment as compared to corn and soybean environments. Waterhemp emergence was nine to sixteen days earlier in oat than that in alfalfa.</w:t>
      </w:r>
    </w:p>
    <w:p>
      <w:pPr>
        <w:pStyle w:val="CaptionedFigure"/>
      </w:pPr>
      <w:r>
        <w:drawing>
          <wp:inline>
            <wp:extent cx="5334000" cy="8534400"/>
            <wp:effectExtent b="0" l="0" r="0" t="0"/>
            <wp:docPr descr="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 title="" id="49" name="Picture"/>
            <a:graphic>
              <a:graphicData uri="http://schemas.openxmlformats.org/drawingml/2006/picture">
                <pic:pic>
                  <pic:nvPicPr>
                    <pic:cNvPr descr="results_files/figure-docx/seedlings-density-19-20-1.png" id="50" name="Picture"/>
                    <pic:cNvPicPr>
                      <a:picLocks noChangeArrowheads="1" noChangeAspect="1"/>
                    </pic:cNvPicPr>
                  </pic:nvPicPr>
                  <pic:blipFill>
                    <a:blip r:embed="rId4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w:t>
      </w:r>
    </w:p>
    <w:p>
      <w:pPr>
        <w:pStyle w:val="TableCaption"/>
      </w:pPr>
      <w:r>
        <w:t xml:space="preserve">Table 2: 2019 and 2020 seedling emergence timing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963"/>
        <w:gridCol w:w="566"/>
        <w:gridCol w:w="882"/>
        <w:gridCol w:w="1025"/>
        <w:gridCol w:w="839"/>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41"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7.92e-15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0.0783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2"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corn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7.92e-15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alfalfa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1.06e-14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 - corn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7.09e-15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 - alfalfa</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5"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alfalfa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-31.00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1.00e-14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-23.75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51"/>
    <w:bookmarkStart w:id="52" w:name="soil-seedbank-and-emergence-proportion"/>
    <w:p>
      <w:pPr>
        <w:pStyle w:val="Heading3"/>
      </w:pPr>
      <w:r>
        <w:t xml:space="preserve">2019 soil seedbank and emergence proportion</w:t>
      </w:r>
    </w:p>
    <w:p>
      <w:pPr>
        <w:pStyle w:val="FirstParagraph"/>
      </w:pPr>
      <w:r>
        <w:t xml:space="preserve">In 2019, the waterhemp soil seedbanks in the cool-season crop environments (O3, O4, and A4) were substantially higher than those of the warm-season crops. The waterhemp soil seedbanks in the soybean environments were the lowest among all the crop environments (Table</w:t>
      </w:r>
      <w:r>
        <w:t xml:space="preserve"> </w:t>
      </w:r>
      <w:r>
        <w:t xml:space="preserve">3</w:t>
      </w:r>
      <w:r>
        <w:t xml:space="preserve">).</w:t>
      </w:r>
    </w:p>
    <w:p>
      <w:pPr>
        <w:pStyle w:val="TableCaption"/>
      </w:pPr>
      <w:r>
        <w:t xml:space="preserve">Table 3: 2019 seedbank densities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1033"/>
        <w:gridCol w:w="956"/>
        <w:gridCol w:w="956"/>
        <w:gridCol w:w="956"/>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1,679.28</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1,220.03</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499.65</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2,763.21</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567.46</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1,834.06</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1,639.06</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326.10</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791.18</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1,151.39</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1,613.48</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9,459.99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1,421.77</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864.30</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3,415.89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1,058.06</w:t>
            </w:r>
          </w:p>
        </w:tc>
      </w:tr>
    </w:tbl>
    <w:bookmarkEnd w:id="52"/>
    <w:bookmarkEnd w:id="53"/>
    <w:bookmarkStart w:id="56" w:name="waterhemp-population-growth-rates"/>
    <w:p>
      <w:pPr>
        <w:pStyle w:val="Heading2"/>
      </w:pPr>
      <w:r>
        <w:t xml:space="preserve">Waterhemp population growth rates</w:t>
      </w:r>
    </w:p>
    <w:bookmarkStart w:id="54"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Nguyen and Liebman (2022a)</w:t>
      </w:r>
      <w:r>
        <w:t xml:space="preserve">, waterhemp population densities were decreasing in all rotations, the fastest in the 2-year rotation under low herbicide corn weed management and the 3-year rotation under both corn weed management programs (Figures</w:t>
      </w:r>
      <w:r>
        <w:t xml:space="preserve"> </w:t>
      </w:r>
      <w:r>
        <w:t xml:space="preserve">3</w:t>
      </w:r>
      <w:r>
        <w:t xml:space="preserve">).</w:t>
      </w:r>
      <w:r>
        <w:t xml:space="preserve"> </w:t>
      </w:r>
      <m:oMath>
        <m:r>
          <m:t>λ</m:t>
        </m:r>
      </m:oMath>
      <w:r>
        <w:t xml:space="preserve">’s decreased right after the first phase of the 2-year (C2) and 3-year (C3) rotations, but increased in the first phase of the 4-year rotation (C4) by three (</w:t>
      </w:r>
      <m:oMath>
        <m:r>
          <m:t>λ</m:t>
        </m:r>
        <m:d>
          <m:dPr>
            <m:begChr m:val="("/>
            <m:endChr m:val=")"/>
            <m:sepChr m:val=""/>
            <m:grow/>
          </m:dPr>
          <m:e>
            <m:r>
              <m:t>C</m:t>
            </m:r>
            <m:r>
              <m:t>4</m:t>
            </m:r>
            <m:r>
              <m:rPr>
                <m:sty m:val="p"/>
              </m:rPr>
              <m:t>,</m:t>
            </m:r>
            <m:r>
              <m:t>l</m:t>
            </m:r>
            <m:r>
              <m:t>o</m:t>
            </m:r>
            <m:r>
              <m:t>w</m:t>
            </m:r>
          </m:e>
        </m:d>
      </m:oMath>
      <w:r>
        <w:t xml:space="preserve"> </w:t>
      </w:r>
      <w:r>
        <w:t xml:space="preserve">= 3.24) to fourteen (</w:t>
      </w:r>
      <m:oMath>
        <m:r>
          <m:t>λ</m:t>
        </m:r>
        <m:d>
          <m:dPr>
            <m:begChr m:val="("/>
            <m:endChr m:val=")"/>
            <m:sepChr m:val=""/>
            <m:grow/>
          </m:dPr>
          <m:e>
            <m:r>
              <m:t>C</m:t>
            </m:r>
            <m:r>
              <m:t>4</m:t>
            </m:r>
            <m:r>
              <m:rPr>
                <m:sty m:val="p"/>
              </m:rPr>
              <m:t>,</m:t>
            </m:r>
            <m:r>
              <m:t>l</m:t>
            </m:r>
            <m:r>
              <m:t>o</m:t>
            </m:r>
            <m:r>
              <m:t>w</m:t>
            </m:r>
          </m:e>
        </m:d>
      </m:oMath>
      <w:r>
        <w:t xml:space="preserve"> </w:t>
      </w:r>
      <w:r>
        <w:t xml:space="preserve">= 14.34) folds. The steady decrease of population density in the soybean, oat, and alfalfa phases (</w:t>
      </w:r>
      <m:oMath>
        <m:r>
          <m:t>λ</m:t>
        </m:r>
      </m:oMath>
      <w:r>
        <w:t xml:space="preserve">’s = 0.5) were sufficient to keep the rotation-wise populations decreasing within a four year cycle even if</w:t>
      </w:r>
      <w:r>
        <w:t xml:space="preserve"> </w:t>
      </w:r>
      <m:oMath>
        <m:r>
          <m:t>λ</m:t>
        </m:r>
      </m:oMath>
      <w:r>
        <w:t xml:space="preserve"> </w:t>
      </w:r>
      <w:r>
        <w:t xml:space="preserve">may increase again when the cropping system circles back to corn. The majority of the seedbank in the 4-year rotation is at the 2-20 cm stratum, which limits the seed pool density available for emergence.</w:t>
      </w:r>
    </w:p>
    <w:bookmarkEnd w:id="54"/>
    <w:bookmarkStart w:id="55" w:name="scenario-2"/>
    <w:p>
      <w:pPr>
        <w:pStyle w:val="Heading3"/>
      </w:pPr>
      <w:r>
        <w:t xml:space="preserve">Scenario 2</w:t>
      </w:r>
    </w:p>
    <w:p>
      <w:pPr>
        <w:pStyle w:val="FirstParagraph"/>
      </w:pPr>
      <w:r>
        <w:t xml:space="preserve">Using 2018 fecundity rates, waterhemp population densities were increasing rapidly in all rotations, the fastest in the 2-year rotation (Figures</w:t>
      </w:r>
      <w:r>
        <w:t xml:space="preserve"> </w:t>
      </w:r>
      <w:r>
        <w:t xml:space="preserve">5</w:t>
      </w:r>
      <w:r>
        <w:t xml:space="preserve">). The population increase in the 3-year rotation under low herbicide corn weed management was similar to that of the 4-year rotation. Even though</w:t>
      </w:r>
      <w:r>
        <w:t xml:space="preserve"> </w:t>
      </w:r>
      <m:oMath>
        <m:r>
          <m:t>λ</m:t>
        </m:r>
        <m:d>
          <m:dPr>
            <m:begChr m:val="("/>
            <m:endChr m:val=")"/>
            <m:sepChr m:val=""/>
            <m:grow/>
          </m:dPr>
          <m:e>
            <m:r>
              <m:t>r</m:t>
            </m:r>
          </m:e>
        </m:d>
      </m:oMath>
      <w:r>
        <w:t xml:space="preserve"> </w:t>
      </w:r>
      <w:r>
        <w:t xml:space="preserve">were all increasing, the partition of seedbanks differed between rotations. Within the same rotation, the partition of seedbank densities in the two strata of the soil was consistent between two corn weed management regimes. In the 2-year rotation, a large portion of the seedbanks were at the 0-2 cm soil stratum; in the 3-year rotation, the top and bottom soil strata were fairly evenly populated; and in the 4-year rotation, the majority of the seedbanks were at the bottom stratum.</w:t>
      </w:r>
    </w:p>
    <w:p>
      <w:pPr>
        <w:pStyle w:val="BodyText"/>
      </w:pPr>
      <w:r>
        <w:t xml:space="preserve">The oat phase of the 3-year rotation (O3) alfalfa phase of the 4-year rotation (A4) offered an opportunity for decreasing</w:t>
      </w:r>
      <w:r>
        <w:t xml:space="preserve"> </w:t>
      </w:r>
      <m:oMath>
        <m:r>
          <m:t>λ</m:t>
        </m:r>
      </m:oMath>
      <w:r>
        <w:t xml:space="preserve">, which was not possible in any other crop phases in the three examined rotations. However, the decline in</w:t>
      </w:r>
      <w:r>
        <w:t xml:space="preserve"> </w:t>
      </w:r>
      <m:oMath>
        <m:r>
          <m:t>λ</m:t>
        </m:r>
        <m:d>
          <m:dPr>
            <m:begChr m:val="("/>
            <m:endChr m:val=")"/>
            <m:sepChr m:val=""/>
            <m:grow/>
          </m:dPr>
          <m:e>
            <m:r>
              <m:t>r</m:t>
            </m:r>
          </m:e>
        </m:d>
      </m:oMath>
      <w:r>
        <w:t xml:space="preserve">’s in O3 (</w:t>
      </w:r>
      <m:oMath>
        <m:r>
          <m:t>λ</m:t>
        </m:r>
        <m:d>
          <m:dPr>
            <m:begChr m:val="("/>
            <m:endChr m:val=")"/>
            <m:sepChr m:val=""/>
            <m:grow/>
          </m:dPr>
          <m:e>
            <m:r>
              <m:t>O</m:t>
            </m:r>
            <m:r>
              <m:t>3</m:t>
            </m:r>
            <m:r>
              <m:rPr>
                <m:sty m:val="p"/>
              </m:rPr>
              <m:t>,</m:t>
            </m:r>
            <m:r>
              <m:t>l</m:t>
            </m:r>
            <m:r>
              <m:t>o</m:t>
            </m:r>
            <m:r>
              <m:t>w</m:t>
            </m:r>
          </m:e>
        </m:d>
      </m:oMath>
      <w:r>
        <w:t xml:space="preserve"> </w:t>
      </w:r>
      <w:r>
        <w:t xml:space="preserve">= 0.68) and A4 (</w:t>
      </w:r>
      <m:oMath>
        <m:r>
          <m:t>λ</m:t>
        </m:r>
        <m:d>
          <m:dPr>
            <m:begChr m:val="("/>
            <m:endChr m:val=")"/>
            <m:sepChr m:val=""/>
            <m:grow/>
          </m:dPr>
          <m:e>
            <m:r>
              <m:t>A</m:t>
            </m:r>
            <m:r>
              <m:t>4</m:t>
            </m:r>
            <m:r>
              <m:rPr>
                <m:sty m:val="p"/>
              </m:rPr>
              <m:t>,</m:t>
            </m:r>
            <m:r>
              <m:t>l</m:t>
            </m:r>
            <m:r>
              <m:t>o</m:t>
            </m:r>
            <m:r>
              <m:t>w</m:t>
            </m:r>
          </m:e>
        </m:d>
      </m:oMath>
      <w:r>
        <w:t xml:space="preserve"> </w:t>
      </w:r>
      <w:r>
        <w:t xml:space="preserve">= 0.60) were not strong enough to deplete the replenishment from the corn (</w:t>
      </w:r>
      <m:oMath>
        <m:r>
          <m:t>λ</m:t>
        </m:r>
        <m:d>
          <m:dPr>
            <m:begChr m:val="("/>
            <m:endChr m:val=")"/>
            <m:sepChr m:val=""/>
            <m:grow/>
          </m:dPr>
          <m:e>
            <m:r>
              <m:t>C</m:t>
            </m:r>
            <m:r>
              <m:t>3</m:t>
            </m:r>
            <m:r>
              <m:rPr>
                <m:sty m:val="p"/>
              </m:rPr>
              <m:t>,</m:t>
            </m:r>
            <m:r>
              <m:t>l</m:t>
            </m:r>
            <m:r>
              <m:t>o</m:t>
            </m:r>
            <m:r>
              <m:t>w</m:t>
            </m:r>
          </m:e>
        </m:d>
      </m:oMath>
      <w:r>
        <w:t xml:space="preserve"> </w:t>
      </w:r>
      <w:r>
        <w:t xml:space="preserve">= 2553 and</w:t>
      </w:r>
      <w:r>
        <w:t xml:space="preserve"> </w:t>
      </w:r>
      <m:oMath>
        <m:r>
          <m:t>λ</m:t>
        </m:r>
        <m:d>
          <m:dPr>
            <m:begChr m:val="("/>
            <m:endChr m:val=")"/>
            <m:sepChr m:val=""/>
            <m:grow/>
          </m:dPr>
          <m:e>
            <m:r>
              <m:t>C</m:t>
            </m:r>
            <m:r>
              <m:t>4</m:t>
            </m:r>
            <m:r>
              <m:rPr>
                <m:sty m:val="p"/>
              </m:rPr>
              <m:t>,</m:t>
            </m:r>
            <m:r>
              <m:t>l</m:t>
            </m:r>
            <m:r>
              <m:t>o</m:t>
            </m:r>
            <m:r>
              <m:t>w</m:t>
            </m:r>
          </m:e>
        </m:d>
      </m:oMath>
      <w:r>
        <w:t xml:space="preserve"> </w:t>
      </w:r>
      <w:r>
        <w:t xml:space="preserve">= 35676.54) and soybean (</w:t>
      </w:r>
      <m:oMath>
        <m:r>
          <m:t>λ</m:t>
        </m:r>
        <m:d>
          <m:dPr>
            <m:begChr m:val="("/>
            <m:endChr m:val=")"/>
            <m:sepChr m:val=""/>
            <m:grow/>
          </m:dPr>
          <m:e>
            <m:r>
              <m:t>S</m:t>
            </m:r>
            <m:r>
              <m:t>3</m:t>
            </m:r>
            <m:r>
              <m:rPr>
                <m:sty m:val="p"/>
              </m:rPr>
              <m:t>,</m:t>
            </m:r>
            <m:r>
              <m:t>l</m:t>
            </m:r>
            <m:r>
              <m:t>o</m:t>
            </m:r>
            <m:r>
              <m:t>w</m:t>
            </m:r>
          </m:e>
        </m:d>
      </m:oMath>
      <w:r>
        <w:t xml:space="preserve"> </w:t>
      </w:r>
      <w:r>
        <w:t xml:space="preserve">= 14567.90 and</w:t>
      </w:r>
      <w:r>
        <w:t xml:space="preserve"> </w:t>
      </w:r>
      <m:oMath>
        <m:r>
          <m:t>λ</m:t>
        </m:r>
        <m:d>
          <m:dPr>
            <m:begChr m:val="("/>
            <m:endChr m:val=")"/>
            <m:sepChr m:val=""/>
            <m:grow/>
          </m:dPr>
          <m:e>
            <m:r>
              <m:t>S</m:t>
            </m:r>
            <m:r>
              <m:t>4</m:t>
            </m:r>
            <m:r>
              <m:rPr>
                <m:sty m:val="p"/>
              </m:rPr>
              <m:t>,</m:t>
            </m:r>
            <m:r>
              <m:t>l</m:t>
            </m:r>
            <m:r>
              <m:t>o</m:t>
            </m:r>
            <m:r>
              <m:t>w</m:t>
            </m:r>
          </m:e>
        </m:d>
      </m:oMath>
      <w:r>
        <w:t xml:space="preserve"> </w:t>
      </w:r>
      <w:r>
        <w:t xml:space="preserve">= 30.20) phases.</w:t>
      </w:r>
    </w:p>
    <w:bookmarkEnd w:id="55"/>
    <w:bookmarkEnd w:id="56"/>
    <w:bookmarkStart w:id="71" w:name="Xf5df142dff9b7c2f56340cdf78ee2c0bbaf8ab2"/>
    <w:p>
      <w:pPr>
        <w:pStyle w:val="Heading2"/>
      </w:pPr>
      <w:r>
        <w:t xml:space="preserve">Elasticities of popilation growth rates to lower-level demographic parameters</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w:t>
      </w:r>
      <w:r>
        <w:t xml:space="preserve">). In both scenarios, seed emergence and seedling survival rate contributed minimally to the elasticity of</w:t>
      </w:r>
      <w:r>
        <w:t xml:space="preserve"> </w:t>
      </w:r>
      <m:oMath>
        <m:r>
          <m:t>λ</m:t>
        </m:r>
      </m:oMath>
      <w:r>
        <w:t xml:space="preserve">. This pattern suggests that even if weed control programs are of high, or even total efficacy, the very few survived plants, if successfully and prolifically produce new seeds, can help sustain the population.</w:t>
      </w:r>
    </w:p>
    <w:bookmarkStart w:id="57"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at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were all declining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 adequate.</w:t>
      </w:r>
    </w:p>
    <w:bookmarkEnd w:id="57"/>
    <w:bookmarkStart w:id="70" w:name="scenario-2-1"/>
    <w:p>
      <w:pPr>
        <w:pStyle w:val="Heading3"/>
      </w:pPr>
      <w:r>
        <w:t xml:space="preserve">Scenario 2</w:t>
      </w:r>
    </w:p>
    <w:p>
      <w:pPr>
        <w:pStyle w:val="FirstParagraph"/>
      </w:pPr>
      <w:r>
        <w:t xml:space="preserve">Unlike scenario one’s dynamics, the difference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The elasticity of</w:t>
      </w:r>
      <w:r>
        <w:t xml:space="preserve"> </w:t>
      </w:r>
      <m:oMath>
        <m:r>
          <m:t>λ</m:t>
        </m:r>
      </m:oMath>
      <w:r>
        <w:t xml:space="preserve">’s to cohort one fecundity were the highest in C2 (4.1 x</w:t>
      </w:r>
      <w:r>
        <w:t xml:space="preserve"> </w:t>
      </w:r>
      <m:oMath>
        <m:sSup>
          <m:e>
            <m:r>
              <m:t>10</m:t>
            </m:r>
          </m:e>
          <m:sup>
            <m:r>
              <m:t>9</m:t>
            </m:r>
          </m:sup>
        </m:sSup>
      </m:oMath>
      <w:r>
        <w:t xml:space="preserve"> </w:t>
      </w:r>
      <w:r>
        <w:t xml:space="preserve">and 2.8 x</w:t>
      </w:r>
      <w:r>
        <w:t xml:space="preserve"> </w:t>
      </w:r>
      <m:oMath>
        <m:sSup>
          <m:e>
            <m:r>
              <m:t>10</m:t>
            </m:r>
          </m:e>
          <m:sup>
            <m:r>
              <m:t>9</m:t>
            </m:r>
          </m:sup>
        </m:sSup>
      </m:oMath>
      <w:r>
        <w:t xml:space="preserve">), S3 (4.4 x</w:t>
      </w:r>
      <w:r>
        <w:t xml:space="preserve"> </w:t>
      </w:r>
      <m:oMath>
        <m:sSup>
          <m:e>
            <m:r>
              <m:t>10</m:t>
            </m:r>
          </m:e>
          <m:sup>
            <m:r>
              <m:t>9</m:t>
            </m:r>
          </m:sup>
        </m:sSup>
      </m:oMath>
      <w:r>
        <w:t xml:space="preserve"> </w:t>
      </w:r>
      <w:r>
        <w:t xml:space="preserve">and 9.7 x</w:t>
      </w:r>
      <w:r>
        <w:t xml:space="preserve"> </w:t>
      </w:r>
      <m:oMath>
        <m:sSup>
          <m:e>
            <m:r>
              <m:t>10</m:t>
            </m:r>
          </m:e>
          <m:sup>
            <m:r>
              <m:t>10</m:t>
            </m:r>
          </m:sup>
        </m:sSup>
      </m:oMath>
      <w:r>
        <w:t xml:space="preserve">), and O4 (8.3 x</w:t>
      </w:r>
      <w:r>
        <w:t xml:space="preserve"> </w:t>
      </w:r>
      <m:oMath>
        <m:sSup>
          <m:e>
            <m:r>
              <m:t>10</m:t>
            </m:r>
          </m:e>
          <m:sup>
            <m:r>
              <m:t>6</m:t>
            </m:r>
          </m:sup>
        </m:sSup>
      </m:oMath>
      <w:r>
        <w:t xml:space="preserve"> </w:t>
      </w:r>
      <w:r>
        <w:t xml:space="preserve">and 6.5 x</w:t>
      </w:r>
      <w:r>
        <w:t xml:space="preserve"> </w:t>
      </w:r>
      <m:oMath>
        <m:sSup>
          <m:e>
            <m:r>
              <m:t>10</m:t>
            </m:r>
          </m:e>
          <m:sup>
            <m:r>
              <m:t>6</m:t>
            </m:r>
          </m:sup>
        </m:sSup>
      </m:oMath>
      <w:r>
        <w:t xml:space="preserve">) phases. The elasticity of</w:t>
      </w:r>
      <w:r>
        <w:t xml:space="preserve"> </w:t>
      </w:r>
      <m:oMath>
        <m:sSub>
          <m:e>
            <m:r>
              <m:t>λ</m:t>
            </m:r>
          </m:e>
          <m:sub>
            <m:r>
              <m:t>r</m:t>
            </m:r>
          </m:sub>
        </m:sSub>
      </m:oMath>
      <w:r>
        <w:t xml:space="preserve">’s elasticity to cohort two fecundity were the highest in S2 (1.4 x</w:t>
      </w:r>
      <w:r>
        <w:t xml:space="preserve"> </w:t>
      </w:r>
      <m:oMath>
        <m:sSup>
          <m:e>
            <m:r>
              <m:t>10</m:t>
            </m:r>
          </m:e>
          <m:sup>
            <m:r>
              <m:t>10</m:t>
            </m:r>
          </m:sup>
        </m:sSup>
      </m:oMath>
      <w:r>
        <w:t xml:space="preserve"> </w:t>
      </w:r>
      <w:r>
        <w:t xml:space="preserve">and 8.4 x</w:t>
      </w:r>
      <w:r>
        <w:t xml:space="preserve"> </w:t>
      </w:r>
      <m:oMath>
        <m:sSup>
          <m:e>
            <m:r>
              <m:t>10</m:t>
            </m:r>
          </m:e>
          <m:sup>
            <m:r>
              <m:t>9</m:t>
            </m:r>
          </m:sup>
        </m:sSup>
      </m:oMath>
      <w:r>
        <w:t xml:space="preserve">), C3 (1 x</w:t>
      </w:r>
      <w:r>
        <w:t xml:space="preserve"> </w:t>
      </w:r>
      <m:oMath>
        <m:sSup>
          <m:e>
            <m:r>
              <m:t>10</m:t>
            </m:r>
          </m:e>
          <m:sup>
            <m:r>
              <m:t>10</m:t>
            </m:r>
          </m:sup>
        </m:sSup>
      </m:oMath>
      <w:r>
        <w:t xml:space="preserve"> </w:t>
      </w:r>
      <w:r>
        <w:t xml:space="preserve">and 1 x</w:t>
      </w:r>
      <w:r>
        <w:t xml:space="preserve"> </w:t>
      </w:r>
      <m:oMath>
        <m:sSup>
          <m:e>
            <m:r>
              <m:t>10</m:t>
            </m:r>
          </m:e>
          <m:sup>
            <m:r>
              <m:t>9</m:t>
            </m:r>
          </m:sup>
        </m:sSup>
      </m:oMath>
      <w:r>
        <w:t xml:space="preserve">), O3 (3 x</w:t>
      </w:r>
      <w:r>
        <w:t xml:space="preserve"> </w:t>
      </w:r>
      <m:oMath>
        <m:sSup>
          <m:e>
            <m:r>
              <m:t>10</m:t>
            </m:r>
          </m:e>
          <m:sup>
            <m:r>
              <m:t>8</m:t>
            </m:r>
          </m:sup>
        </m:sSup>
      </m:oMath>
      <w:r>
        <w:t xml:space="preserve"> </w:t>
      </w:r>
      <w:r>
        <w:t xml:space="preserve">and 2.5 x</w:t>
      </w:r>
      <w:r>
        <w:t xml:space="preserve"> </w:t>
      </w:r>
      <m:oMath>
        <m:sSup>
          <m:e>
            <m:r>
              <m:t>10</m:t>
            </m:r>
          </m:e>
          <m:sup>
            <m:r>
              <m:t>7</m:t>
            </m:r>
          </m:sup>
        </m:sSup>
      </m:oMath>
      <w:r>
        <w:t xml:space="preserve">), C4 (1.6 x</w:t>
      </w:r>
      <w:r>
        <w:t xml:space="preserve"> </w:t>
      </w:r>
      <m:oMath>
        <m:sSup>
          <m:e>
            <m:r>
              <m:t>10</m:t>
            </m:r>
          </m:e>
          <m:sup>
            <m:r>
              <m:t>9</m:t>
            </m:r>
          </m:sup>
        </m:sSup>
      </m:oMath>
      <w:r>
        <w:t xml:space="preserve"> </w:t>
      </w:r>
      <w:r>
        <w:t xml:space="preserve">and 1 x</w:t>
      </w:r>
      <w:r>
        <w:t xml:space="preserve"> </w:t>
      </w:r>
      <m:oMath>
        <m:sSup>
          <m:e>
            <m:r>
              <m:t>10</m:t>
            </m:r>
          </m:e>
          <m:sup>
            <m:r>
              <m:t>10</m:t>
            </m:r>
          </m:sup>
        </m:sSup>
      </m:oMath>
      <w:r>
        <w:t xml:space="preserve">), S4 (8.4 x</w:t>
      </w:r>
      <w:r>
        <w:t xml:space="preserve"> </w:t>
      </w:r>
      <m:oMath>
        <m:sSup>
          <m:e>
            <m:r>
              <m:t>10</m:t>
            </m:r>
          </m:e>
          <m:sup>
            <m:r>
              <m:t>7</m:t>
            </m:r>
          </m:sup>
        </m:sSup>
      </m:oMath>
      <w:r>
        <w:t xml:space="preserve"> </w:t>
      </w:r>
      <w:r>
        <w:t xml:space="preserve">and 8.8 x</w:t>
      </w:r>
      <w:r>
        <w:t xml:space="preserve"> </w:t>
      </w:r>
      <m:oMath>
        <m:sSup>
          <m:e>
            <m:r>
              <m:t>10</m:t>
            </m:r>
          </m:e>
          <m:sup>
            <m:r>
              <m:t>7</m:t>
            </m:r>
          </m:sup>
        </m:sSup>
      </m:oMath>
      <w:r>
        <w:t xml:space="preserve">), and A4 (1.1 x</w:t>
      </w:r>
      <w:r>
        <w:t xml:space="preserve"> </w:t>
      </w:r>
      <m:oMath>
        <m:sSup>
          <m:e>
            <m:r>
              <m:t>10</m:t>
            </m:r>
          </m:e>
          <m:sup>
            <m:r>
              <m:t>7</m:t>
            </m:r>
          </m:sup>
        </m:sSup>
      </m:oMath>
      <w:r>
        <w:t xml:space="preserve"> </w:t>
      </w:r>
      <w:r>
        <w:t xml:space="preserve">and 3 x</w:t>
      </w:r>
      <w:r>
        <w:t xml:space="preserve"> </w:t>
      </w:r>
      <m:oMath>
        <m:sSup>
          <m:e>
            <m:r>
              <m:t>10</m:t>
            </m:r>
          </m:e>
          <m:sup>
            <m:r>
              <m:t>5</m:t>
            </m:r>
          </m:sup>
        </m:sSup>
      </m:oMath>
      <w:r>
        <w:t xml:space="preserve">)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the second-ranked group of parameters in contribution to elasticity of</w:t>
      </w:r>
      <w:r>
        <w:t xml:space="preserve"> </w:t>
      </w:r>
      <m:oMath>
        <m:r>
          <m:t>λ</m:t>
        </m:r>
        <m:d>
          <m:dPr>
            <m:begChr m:val="("/>
            <m:endChr m:val=")"/>
            <m:sepChr m:val=""/>
            <m:grow/>
          </m:dPr>
          <m:e>
            <m:r>
              <m:t>3</m:t>
            </m:r>
          </m:e>
        </m:d>
      </m:oMath>
      <w:r>
        <w:t xml:space="preserve"> </w:t>
      </w:r>
      <w:r>
        <w:t xml:space="preserve">was pre-planting tillage-induced seed movement in the warm-season crop phases; and overwinter seed survival in the cool-season crop phase.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cool-season crop phase and pre-planting tillage-induced seed movement in the warm-season crop phases; a reverse trend as compared to the 3-year rotation’s dynamics.</w:t>
      </w:r>
    </w:p>
    <w:p>
      <w:pPr>
        <w:pStyle w:val="BodyText"/>
      </w:pPr>
      <w:r>
        <w:t xml:space="preserve">The high ranking of fecundity to elasticity of</w:t>
      </w:r>
      <w:r>
        <w:t xml:space="preserve"> </w:t>
      </w:r>
      <m:oMath>
        <m:r>
          <m:t>λ</m:t>
        </m:r>
      </m:oMath>
      <w:r>
        <w:t xml:space="preserve"> </w:t>
      </w:r>
      <w:r>
        <w:t xml:space="preserve">can be explained by the</w:t>
      </w:r>
    </w:p>
    <w:p>
      <w:pPr>
        <w:pStyle w:val="CaptionedFigure"/>
      </w:pPr>
      <w:r>
        <w:drawing>
          <wp:inline>
            <wp:extent cx="5334000" cy="8001000"/>
            <wp:effectExtent b="0" l="0" r="0" t="0"/>
            <wp:docPr descr="Figure 3: Scenario 1: Changes of a seed column after twelve model year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 The annualized population growth rates are followed by their variances in brackets. The models years are followed by the main crop species names’ abbreviations: C - corn, S - soybean, O - oat, and A - alfalfa." title="" id="59" name="Picture"/>
            <a:graphic>
              <a:graphicData uri="http://schemas.openxmlformats.org/drawingml/2006/picture">
                <pic:pic>
                  <pic:nvPicPr>
                    <pic:cNvPr descr="results_files/figure-docx/scenario1-phase-wise-lambda-plot-1.png" id="60" name="Picture"/>
                    <pic:cNvPicPr>
                      <a:picLocks noChangeArrowheads="1" noChangeAspect="1"/>
                    </pic:cNvPicPr>
                  </pic:nvPicPr>
                  <pic:blipFill>
                    <a:blip r:embed="rId58"/>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 Scenario 1: Changes of a seed column after twelve model years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 The annualized population growth rates are followed by their variances in brackets. The models years are followed by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title="" id="62" name="Picture"/>
            <a:graphic>
              <a:graphicData uri="http://schemas.openxmlformats.org/drawingml/2006/picture">
                <pic:pic>
                  <pic:nvPicPr>
                    <pic:cNvPr descr="results_files/figure-docx/scenario1-E-B-by-rot-rank-1.png" id="63" name="Picture"/>
                    <pic:cNvPicPr>
                      <a:picLocks noChangeArrowheads="1" noChangeAspect="1"/>
                    </pic:cNvPicPr>
                  </pic:nvPicPr>
                  <pic:blipFill>
                    <a:blip r:embed="rId6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p>
      <w:pPr>
        <w:pStyle w:val="CaptionedFigure"/>
      </w:pPr>
      <w:r>
        <w:drawing>
          <wp:inline>
            <wp:extent cx="5334000" cy="8001000"/>
            <wp:effectExtent b="0" l="0" r="0" t="0"/>
            <wp:docPr descr="Figure 5: Scenario 1: Changes of a seed column after four model years (only four years are illustrated because of scale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 title="" id="65" name="Picture"/>
            <a:graphic>
              <a:graphicData uri="http://schemas.openxmlformats.org/drawingml/2006/picture">
                <pic:pic>
                  <pic:nvPicPr>
                    <pic:cNvPr descr="results_files/figure-docx/scenario2-phase-wise-lambda-plot-1.png" id="66" name="Picture"/>
                    <pic:cNvPicPr>
                      <a:picLocks noChangeArrowheads="1" noChangeAspect="1"/>
                    </pic:cNvPicPr>
                  </pic:nvPicPr>
                  <pic:blipFill>
                    <a:blip r:embed="rId64"/>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5: Scenario 1: Changes of a seed column after four model years (only four years are illustrated because of scales)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title="" id="68" name="Picture"/>
            <a:graphic>
              <a:graphicData uri="http://schemas.openxmlformats.org/drawingml/2006/picture">
                <pic:pic>
                  <pic:nvPicPr>
                    <pic:cNvPr descr="results_files/figure-docx/scenario2-E-B-by-rot-rank-1.png" id="69" name="Picture"/>
                    <pic:cNvPicPr>
                      <a:picLocks noChangeArrowheads="1" noChangeAspect="1"/>
                    </pic:cNvPicPr>
                  </pic:nvPicPr>
                  <pic:blipFill>
                    <a:blip r:embed="rId67"/>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bookmarkEnd w:id="70"/>
    <w:bookmarkEnd w:id="71"/>
    <w:bookmarkStart w:id="72" w:name="conclusion"/>
    <w:p>
      <w:pPr>
        <w:pStyle w:val="Heading2"/>
      </w:pPr>
      <w:r>
        <w:t xml:space="preserve">Conclusion</w:t>
      </w:r>
    </w:p>
    <w:p>
      <w:pPr>
        <w:pStyle w:val="FirstParagraph"/>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The findings here illustrated that</w:t>
      </w:r>
      <w:r>
        <w:t xml:space="preserve"> </w:t>
      </w:r>
      <w:r>
        <w:t xml:space="preserve">“</w:t>
      </w:r>
      <w:r>
        <w:t xml:space="preserve">many little hammers</w:t>
      </w:r>
      <w:r>
        <w:t xml:space="preserve">”</w:t>
      </w:r>
      <w:r>
        <w:t xml:space="preserve"> </w:t>
      </w:r>
      <w:r>
        <w:t xml:space="preserve">concept could provide effective control of common waterhemp</w:t>
      </w:r>
      <w:r>
        <w:t xml:space="preserve"> </w:t>
      </w:r>
      <w:r>
        <w:t xml:space="preserve">(Liebman and Gallandt, 1997)</w:t>
      </w:r>
      <w:r>
        <w:t xml:space="preserve">. Unlike giant foxtail whose bottle neck point in the life cycle was overwinter survival rate</w:t>
      </w:r>
      <w:r>
        <w:t xml:space="preserve"> </w:t>
      </w:r>
      <w:r>
        <w:t xml:space="preserve">(Davis, 2002)</w:t>
      </w:r>
      <w:r>
        <w:t xml:space="preserve">, waterhemp’s bottle neck point in its life cycle was seedling emergence rate. However, if the early emerged plants were unaffected by weed control programs, either through herbicide resistance or lack of exposure to cultivation, and successfully complete their life cycle, very few massive,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contributed by seed emergence in both the</w:t>
      </w:r>
      <w:r>
        <w:t xml:space="preserve"> </w:t>
      </w:r>
      <m:oMath>
        <m:r>
          <m:t>λ</m:t>
        </m:r>
      </m:oMath>
      <w:r>
        <w:t xml:space="preserve">-increasing and</w:t>
      </w:r>
      <w:r>
        <w:t xml:space="preserve"> </w:t>
      </w:r>
      <m:oMath>
        <m:r>
          <m:t>λ</m:t>
        </m:r>
      </m:oMath>
      <w:r>
        <w:t xml:space="preserve">-decreasing scenarios, it would be helpful to focus on disrupting seed production by reducing individual plant size with delaying emergence or applying multiple mortality factors to successfully establishing plants, and by limiting seed deposit to the soil. Under the current 4-year rotation’s crop sequence, oat (O4) and alfalfa (A4) provided valuable opportunities to reduce plant size</w:t>
      </w:r>
      <w:r>
        <w:t xml:space="preserve"> </w:t>
      </w:r>
      <w:r>
        <w:t xml:space="preserve">(Nguyen and Liebman, 2022b, 2022a)</w:t>
      </w:r>
      <w:r>
        <w:t xml:space="preserve">.</w:t>
      </w:r>
    </w:p>
    <w:p>
      <w:pPr>
        <w:pStyle w:val="BodyText"/>
      </w:pPr>
      <w:r>
        <w:t xml:space="preserve">Reduction of herbicide mass</w:t>
      </w:r>
      <w:r>
        <w:t xml:space="preserve"> </w:t>
      </w:r>
      <w:r>
        <w:t xml:space="preserve">(Nguyen and Liebman, 2022b)</w:t>
      </w:r>
      <w:r>
        <w:t xml:space="preserve"> </w:t>
      </w:r>
      <w:r>
        <w:t xml:space="preserve">was not coincided with population growing in scenario one (</w:t>
      </w:r>
      <m:oMath>
        <m:r>
          <m:t>λ</m:t>
        </m:r>
        <m:r>
          <m:rPr>
            <m:sty m:val="p"/>
          </m:rPr>
          <m:t>&lt;</m:t>
        </m:r>
        <m:r>
          <m:t>1</m:t>
        </m:r>
      </m:oMath>
      <w:r>
        <w:t xml:space="preserve">) but coincided with population growing in scenario two (</w:t>
      </w:r>
      <m:oMath>
        <m:r>
          <m:t>λ</m:t>
        </m:r>
        <m:r>
          <m:rPr>
            <m:sty m:val="p"/>
          </m:rPr>
          <m:t>&gt;</m:t>
        </m:r>
        <m:r>
          <m:t>1</m:t>
        </m:r>
      </m:oMath>
      <w:r>
        <w:t xml:space="preserve">). In consideration of scenario two,</w:t>
      </w:r>
      <w:r>
        <w:t xml:space="preserve"> </w:t>
      </w:r>
      <m:oMath>
        <m:r>
          <m:t>λ</m:t>
        </m:r>
      </m:oMath>
      <w:r>
        <w:t xml:space="preserve">-increasing, it would be useful to examine how many years of continuous overwinter cover crops is necessary and which cool-season crop species would be efficient in decreasing waterhemp</w:t>
      </w:r>
      <w:r>
        <w:t xml:space="preserve"> </w:t>
      </w:r>
      <m:oMath>
        <m:r>
          <m:t>λ</m:t>
        </m:r>
      </m:oMath>
      <w:r>
        <w:t xml:space="preserve"> </w:t>
      </w:r>
      <w:r>
        <w:t xml:space="preserve">after steady seedbank replenishment. This investigation is needed because even if the increased in abundance of waterhemp and other present weed species, has not been observed at the experiment site</w:t>
      </w:r>
      <w:r>
        <w:t xml:space="preserve"> </w:t>
      </w:r>
      <w:r>
        <w:t xml:space="preserve">(Nguyen and Liebman, 2022b)</w:t>
      </w:r>
      <w:r>
        <w:t xml:space="preserve">, an affluent seedbank of a highly competitive weed species harbors risks of weed outbreaks.</w:t>
      </w:r>
    </w:p>
    <w:p>
      <w:pPr>
        <w:pStyle w:val="BodyText"/>
      </w:pPr>
      <w:r>
        <w:t xml:space="preserve">The cohort-based female survival rates at the experiment site were not realistically estimated due to small sample size in a high efficacy weed management program. Future experiments should focus on assessing cohort-based female survival rates in cool-season crop environments.</w:t>
      </w:r>
    </w:p>
    <w:bookmarkEnd w:id="72"/>
    <w:bookmarkStart w:id="88" w:name="appendix"/>
    <w:p>
      <w:pPr>
        <w:pStyle w:val="Heading2"/>
      </w:pPr>
      <w:r>
        <w:t xml:space="preserve">Appendix</w:t>
      </w:r>
    </w:p>
    <w:bookmarkStart w:id="76"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7: Diagnosis plots for the effects of crop identity and crop weed managennt on the seedbank densities at the top (A) and bottom (B) soil strata" title="" id="74" name="Picture"/>
            <a:graphic>
              <a:graphicData uri="http://schemas.openxmlformats.org/drawingml/2006/picture">
                <pic:pic>
                  <pic:nvPicPr>
                    <pic:cNvPr descr="results_files/figure-docx/unnamed-chunk-10-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7: Diagnosis plots for the effects of crop identity and crop weed managennt on the seedbank densities at the top (A) and bottom (B) soil strata</w:t>
      </w:r>
    </w:p>
    <w:bookmarkEnd w:id="76"/>
    <w:bookmarkStart w:id="86"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(Density_end_female_eu_cohort</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cohort_emergence_female_19)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56.93   0.477  0.6998</w:t>
      </w:r>
      <w:r>
        <w:br/>
      </w:r>
      <w:r>
        <w:rPr>
          <w:rStyle w:val="VerbatimChar"/>
        </w:rPr>
        <w:t xml:space="preserve">##  Crop_ID                        8 56.53 117.230  &lt;.0001</w:t>
      </w:r>
      <w:r>
        <w:br/>
      </w:r>
      <w:r>
        <w:rPr>
          <w:rStyle w:val="VerbatimChar"/>
        </w:rPr>
        <w:t xml:space="preserve">##  Corn_weed_management           1 56.53   0.602  0.4411</w:t>
      </w:r>
      <w:r>
        <w:br/>
      </w:r>
      <w:r>
        <w:rPr>
          <w:rStyle w:val="VerbatimChar"/>
        </w:rPr>
        <w:t xml:space="preserve">##  Cohort                         5 69.94  70.175  &lt;.0001</w:t>
      </w:r>
      <w:r>
        <w:br/>
      </w:r>
      <w:r>
        <w:rPr>
          <w:rStyle w:val="VerbatimChar"/>
        </w:rPr>
        <w:t xml:space="preserve">##  Crop_ID:Corn_weed_management   8 56.93   4.015  0.0008</w:t>
      </w:r>
      <w:r>
        <w:br/>
      </w:r>
      <w:r>
        <w:rPr>
          <w:rStyle w:val="VerbatimChar"/>
        </w:rPr>
        <w:t xml:space="preserve">##  Crop_ID:Cohort                40 69.94  15.739  &lt;.0001</w:t>
      </w:r>
      <w:r>
        <w:br/>
      </w:r>
      <w:r>
        <w:rPr>
          <w:rStyle w:val="VerbatimChar"/>
        </w:rPr>
        <w:t xml:space="preserve">##  Corn_weed_management:Cohort    5 69.94   1.206  0.3153</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53.88   2.441  0.0742</w:t>
      </w:r>
      <w:r>
        <w:br/>
      </w:r>
      <w:r>
        <w:rPr>
          <w:rStyle w:val="VerbatimChar"/>
        </w:rPr>
        <w:t xml:space="preserve">##  Crop_ID                        8 98.25   9.916  &lt;.0001</w:t>
      </w:r>
      <w:r>
        <w:br/>
      </w:r>
      <w:r>
        <w:rPr>
          <w:rStyle w:val="VerbatimChar"/>
        </w:rPr>
        <w:t xml:space="preserve">##  Corn_weed_management           1 88.66  12.907  0.0005</w:t>
      </w:r>
      <w:r>
        <w:br/>
      </w:r>
      <w:r>
        <w:rPr>
          <w:rStyle w:val="VerbatimChar"/>
        </w:rPr>
        <w:t xml:space="preserve">##  Cohort                         5 83.86  39.802  &lt;.0001</w:t>
      </w:r>
      <w:r>
        <w:br/>
      </w:r>
      <w:r>
        <w:rPr>
          <w:rStyle w:val="VerbatimChar"/>
        </w:rPr>
        <w:t xml:space="preserve">##  Crop_ID:Corn_weed_management   8 58.17   6.045  &lt;.0001</w:t>
      </w:r>
      <w:r>
        <w:br/>
      </w:r>
      <w:r>
        <w:rPr>
          <w:rStyle w:val="VerbatimChar"/>
        </w:rPr>
        <w:t xml:space="preserve">##  Crop_ID:Cohort                40 97.25  11.675  &lt;.0001</w:t>
      </w:r>
      <w:r>
        <w:br/>
      </w:r>
      <w:r>
        <w:rPr>
          <w:rStyle w:val="VerbatimChar"/>
        </w:rPr>
        <w:t xml:space="preserve">##  Corn_weed_management:Cohort    5 80.71   4.963  0.0005</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w:t>
      </w:r>
      <w:r>
        <w:br/>
      </w:r>
      <w:r>
        <w:rPr>
          <w:rStyle w:val="AttributeTok"/>
        </w:rPr>
        <w:t xml:space="preserve">data =</w:t>
      </w:r>
      <w:r>
        <w:rPr>
          <w:rStyle w:val="NormalTok"/>
        </w:rPr>
        <w:t xml:space="preserve"> cohort1_2019_eu )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w:t>
      </w:r>
      <w:r>
        <w:br/>
      </w:r>
      <w:r>
        <w:rPr>
          <w:rStyle w:val="VerbatimChar"/>
        </w:rPr>
        <w:t xml:space="preserve">##  Block                          3  51                               2.000</w:t>
      </w:r>
      <w:r>
        <w:br/>
      </w:r>
      <w:r>
        <w:rPr>
          <w:rStyle w:val="VerbatimChar"/>
        </w:rPr>
        <w:t xml:space="preserve">##  Crop_ID                        8  51 3851911191786461636489811853312.000</w:t>
      </w:r>
      <w:r>
        <w:br/>
      </w:r>
      <w:r>
        <w:rPr>
          <w:rStyle w:val="VerbatimChar"/>
        </w:rPr>
        <w:t xml:space="preserve">##  Corn_weed_management           1  51                               0.000</w:t>
      </w:r>
      <w:r>
        <w:br/>
      </w:r>
      <w:r>
        <w:rPr>
          <w:rStyle w:val="VerbatimChar"/>
        </w:rPr>
        <w:t xml:space="preserve">##  Crop_ID:Corn_weed_management   8  51                               1.000</w:t>
      </w:r>
      <w:r>
        <w:br/>
      </w:r>
      <w:r>
        <w:rPr>
          <w:rStyle w:val="VerbatimChar"/>
        </w:rPr>
        <w:t xml:space="preserve">##  p.value</w:t>
      </w:r>
      <w:r>
        <w:br/>
      </w:r>
      <w:r>
        <w:rPr>
          <w:rStyle w:val="VerbatimChar"/>
        </w:rPr>
        <w:t xml:space="preserve">##   0.2023</w:t>
      </w:r>
      <w:r>
        <w:br/>
      </w:r>
      <w:r>
        <w:rPr>
          <w:rStyle w:val="VerbatimChar"/>
        </w:rPr>
        <w:t xml:space="preserve">##   &lt;.0001</w:t>
      </w:r>
      <w:r>
        <w:br/>
      </w:r>
      <w:r>
        <w:rPr>
          <w:rStyle w:val="VerbatimChar"/>
        </w:rPr>
        <w:t xml:space="preserve">##   0.6656</w:t>
      </w:r>
      <w:r>
        <w:br/>
      </w:r>
      <w:r>
        <w:rPr>
          <w:rStyle w:val="VerbatimChar"/>
        </w:rPr>
        <w:t xml:space="preserve">##   0.3385</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51     8.500  0.0001</w:t>
      </w:r>
      <w:r>
        <w:br/>
      </w:r>
      <w:r>
        <w:rPr>
          <w:rStyle w:val="VerbatimChar"/>
        </w:rPr>
        <w:t xml:space="preserve">##  Crop_ID                        8  51 20133.903  &lt;.0001</w:t>
      </w:r>
      <w:r>
        <w:br/>
      </w:r>
      <w:r>
        <w:rPr>
          <w:rStyle w:val="VerbatimChar"/>
        </w:rPr>
        <w:t xml:space="preserve">##  Corn_weed_management           1  51     0.000  1.0000</w:t>
      </w:r>
      <w:r>
        <w:br/>
      </w:r>
      <w:r>
        <w:rPr>
          <w:rStyle w:val="VerbatimChar"/>
        </w:rPr>
        <w:t xml:space="preserve">##  Crop_ID:Corn_weed_management   8  51     0.000  1.0000</w:t>
      </w:r>
    </w:p>
    <w:p>
      <w:pPr>
        <w:pStyle w:val="CaptionedFigure"/>
      </w:pPr>
      <w:r>
        <w:drawing>
          <wp:inline>
            <wp:extent cx="5334000" cy="8534400"/>
            <wp:effectExtent b="0" l="0" r="0" t="0"/>
            <wp:docPr descr="Figure 8: Diagnosis plots for the effects of crop identity and corn weed management on the seedbank densities at the top (A) and bottom (B) soil strata" title="" id="78" name="Picture"/>
            <a:graphic>
              <a:graphicData uri="http://schemas.openxmlformats.org/drawingml/2006/picture">
                <pic:pic>
                  <pic:nvPicPr>
                    <pic:cNvPr descr="results_files/figure-docx/unnamed-chunk-15-1.png" id="79" name="Picture"/>
                    <pic:cNvPicPr>
                      <a:picLocks noChangeArrowheads="1" noChangeAspect="1"/>
                    </pic:cNvPicPr>
                  </pic:nvPicPr>
                  <pic:blipFill>
                    <a:blip r:embed="rId77"/>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8: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9: Diagnosis plot for the effects of crop identity, corn weed management, and cohort on seedling densities in 2019" title="" id="81" name="Picture"/>
            <a:graphic>
              <a:graphicData uri="http://schemas.openxmlformats.org/drawingml/2006/picture">
                <pic:pic>
                  <pic:nvPicPr>
                    <pic:cNvPr descr="results_files/figure-docx/emerge-pattern-19-1.png" id="82" name="Picture"/>
                    <pic:cNvPicPr>
                      <a:picLocks noChangeArrowheads="1" noChangeAspect="1"/>
                    </pic:cNvPicPr>
                  </pic:nvPicPr>
                  <pic:blipFill>
                    <a:blip r:embed="rId8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 for the effects of crop identity, corn weed management, and cohort on seedling densities in 2019</w:t>
      </w:r>
    </w:p>
    <w:p>
      <w:pPr>
        <w:pStyle w:val="CaptionedFigure"/>
      </w:pPr>
      <w:r>
        <w:drawing>
          <wp:inline>
            <wp:extent cx="5334000" cy="8534400"/>
            <wp:effectExtent b="0" l="0" r="0" t="0"/>
            <wp:docPr descr="Figure 10: Diagnosis plot for the effects of crop identity, corn weed management, and cohort on seedling densities in 2020" title="" id="84" name="Picture"/>
            <a:graphic>
              <a:graphicData uri="http://schemas.openxmlformats.org/drawingml/2006/picture">
                <pic:pic>
                  <pic:nvPicPr>
                    <pic:cNvPr descr="results_files/figure-docx/emerge-pattern-20-1.png" id="85" name="Picture"/>
                    <pic:cNvPicPr>
                      <a:picLocks noChangeArrowheads="1" noChangeAspect="1"/>
                    </pic:cNvPicPr>
                  </pic:nvPicPr>
                  <pic:blipFill>
                    <a:blip r:embed="rId8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Diagnosis plot for the effects of crop identity, corn weed management, and cohort on seedling densities in 2020</w:t>
      </w:r>
    </w:p>
    <w:bookmarkEnd w:id="86"/>
    <w:bookmarkStart w:id="87" w:name="female-survival-rate-by-cohort"/>
    <w:p>
      <w:pPr>
        <w:pStyle w:val="Heading3"/>
      </w:pPr>
      <w:r>
        <w:t xml:space="preserve">2019 female survival rate by cohort</w:t>
      </w:r>
    </w:p>
    <w:p>
      <w:pPr>
        <w:pStyle w:val="TableCaption"/>
      </w:pPr>
      <w:r>
        <w:t xml:space="preserve">Table 4: 2019 seedbank densities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93"/>
        <w:gridCol w:w="1944"/>
        <w:gridCol w:w="683"/>
        <w:gridCol w:w="683"/>
        <w:gridCol w:w="683"/>
        <w:gridCol w:w="683"/>
        <w:gridCol w:w="683"/>
        <w:gridCol w:w="683"/>
      </w:tblGrid>
      <w:tr>
        <w:trPr>
          <w:cantSplit/>
          <w:trHeight w:val="516"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Cohort</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w:t>
            </w:r>
          </w:p>
        </w:tc>
      </w:tr>
      <w:tr>
        <w:trPr>
          <w:cantSplit/>
          <w:trHeight w:val="516"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r>
      <w:tr>
        <w:trPr>
          <w:cantSplit/>
          <w:trHeight w:val="5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0.67</w:t>
            </w:r>
          </w:p>
        </w:tc>
      </w:tr>
      <w:tr>
        <w:trPr>
          <w:cantSplit/>
          <w:trHeight w:val="5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w:t>
            </w:r>
          </w:p>
        </w:tc>
      </w:tr>
      <w:tr>
        <w:trPr>
          <w:cantSplit/>
          <w:trHeight w:val="5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0.22</w:t>
            </w:r>
          </w:p>
        </w:tc>
      </w:tr>
      <w:tr>
        <w:trPr>
          <w:cantSplit/>
          <w:trHeight w:val="5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r>
      <w:tr>
        <w:trPr>
          <w:cantSplit/>
          <w:trHeight w:val="5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4"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bl>
    <w:bookmarkEnd w:id="87"/>
    <w:bookmarkEnd w:id="88"/>
    <w:bookmarkEnd w:id="89"/>
    <w:bookmarkStart w:id="145" w:name="references"/>
    <w:p>
      <w:pPr>
        <w:pStyle w:val="Heading1"/>
      </w:pPr>
      <w:r>
        <w:t xml:space="preserve">References</w:t>
      </w:r>
    </w:p>
    <w:bookmarkStart w:id="144" w:name="refs"/>
    <w:bookmarkStart w:id="91" w:name="ref-borzaComparingEstimatesSeed2007"/>
    <w:p>
      <w:pPr>
        <w:pStyle w:val="Bibliography"/>
      </w:pPr>
      <w:r>
        <w:t xml:space="preserve">Borza, J. K., Westerman, P. R., and Liebman, M. (2007). Comparing estimates of seed viability in three foxtail (setaria) species using the imbibed seed crush test with and without additional tetrazolium testing.</w:t>
      </w:r>
      <w:r>
        <w:t xml:space="preserve"> </w:t>
      </w:r>
      <w:r>
        <w:rPr>
          <w:iCs/>
          <w:i/>
        </w:rPr>
        <w:t xml:space="preserve">Weed Technology</w:t>
      </w:r>
      <w:r>
        <w:t xml:space="preserve">,</w:t>
      </w:r>
      <w:r>
        <w:t xml:space="preserve"> </w:t>
      </w:r>
      <w:r>
        <w:rPr>
          <w:iCs/>
          <w:i/>
        </w:rPr>
        <w:t xml:space="preserve">21</w:t>
      </w:r>
      <w:r>
        <w:t xml:space="preserve">(2), 518–522.</w:t>
      </w:r>
      <w:r>
        <w:t xml:space="preserve"> </w:t>
      </w:r>
      <w:hyperlink r:id="rId90">
        <w:r>
          <w:rPr>
            <w:rStyle w:val="Hyperlink"/>
          </w:rPr>
          <w:t xml:space="preserve">https://doi.org/d8wnfq</w:t>
        </w:r>
      </w:hyperlink>
    </w:p>
    <w:bookmarkEnd w:id="91"/>
    <w:bookmarkStart w:id="93"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92">
        <w:r>
          <w:rPr>
            <w:rStyle w:val="Hyperlink"/>
          </w:rPr>
          <w:t xml:space="preserve">https://doi.org/dmnt6f</w:t>
        </w:r>
      </w:hyperlink>
    </w:p>
    <w:bookmarkEnd w:id="93"/>
    <w:bookmarkStart w:id="94"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94"/>
    <w:bookmarkStart w:id="95"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95"/>
    <w:bookmarkStart w:id="97"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96">
        <w:r>
          <w:rPr>
            <w:rStyle w:val="Hyperlink"/>
          </w:rPr>
          <w:t xml:space="preserve">https://doi.org/cbjqq5</w:t>
        </w:r>
      </w:hyperlink>
    </w:p>
    <w:bookmarkEnd w:id="97"/>
    <w:bookmarkStart w:id="99"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98">
        <w:r>
          <w:rPr>
            <w:rStyle w:val="Hyperlink"/>
          </w:rPr>
          <w:t xml:space="preserve">https://doi.org/10.1017/CBO9780511608629</w:t>
        </w:r>
      </w:hyperlink>
    </w:p>
    <w:bookmarkEnd w:id="99"/>
    <w:bookmarkStart w:id="101"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00">
        <w:r>
          <w:rPr>
            <w:rStyle w:val="Hyperlink"/>
          </w:rPr>
          <w:t xml:space="preserve">https://doi.org/d824tt</w:t>
        </w:r>
      </w:hyperlink>
    </w:p>
    <w:bookmarkEnd w:id="101"/>
    <w:bookmarkStart w:id="103"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02">
        <w:r>
          <w:rPr>
            <w:rStyle w:val="Hyperlink"/>
          </w:rPr>
          <w:t xml:space="preserve">https://doi.org/bmncpf</w:t>
        </w:r>
      </w:hyperlink>
    </w:p>
    <w:bookmarkEnd w:id="103"/>
    <w:bookmarkStart w:id="105"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04">
        <w:r>
          <w:rPr>
            <w:rStyle w:val="Hyperlink"/>
          </w:rPr>
          <w:t xml:space="preserve">https://doi.org/10.31274/rtd-180814-161</w:t>
        </w:r>
      </w:hyperlink>
    </w:p>
    <w:bookmarkEnd w:id="105"/>
    <w:bookmarkStart w:id="107"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06">
        <w:r>
          <w:rPr>
            <w:rStyle w:val="Hyperlink"/>
          </w:rPr>
          <w:t xml:space="preserve">https://doi.org/dmvcdf</w:t>
        </w:r>
      </w:hyperlink>
    </w:p>
    <w:bookmarkEnd w:id="107"/>
    <w:bookmarkStart w:id="109"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08">
        <w:r>
          <w:rPr>
            <w:rStyle w:val="Hyperlink"/>
          </w:rPr>
          <w:t xml:space="preserve">https://doi.org/bxq7q8</w:t>
        </w:r>
      </w:hyperlink>
    </w:p>
    <w:bookmarkEnd w:id="109"/>
    <w:bookmarkStart w:id="111"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10">
        <w:r>
          <w:rPr>
            <w:rStyle w:val="Hyperlink"/>
          </w:rPr>
          <w:t xml:space="preserve">https://doi.org/cdzbdn</w:t>
        </w:r>
      </w:hyperlink>
    </w:p>
    <w:bookmarkEnd w:id="111"/>
    <w:bookmarkStart w:id="113"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12">
        <w:r>
          <w:rPr>
            <w:rStyle w:val="Hyperlink"/>
          </w:rPr>
          <w:t xml:space="preserve">https://doi.org/cmhpxk</w:t>
        </w:r>
      </w:hyperlink>
    </w:p>
    <w:bookmarkEnd w:id="113"/>
    <w:bookmarkStart w:id="115"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14">
        <w:r>
          <w:rPr>
            <w:rStyle w:val="Hyperlink"/>
          </w:rPr>
          <w:t xml:space="preserve">https://doi.org/dxmb34</w:t>
        </w:r>
      </w:hyperlink>
    </w:p>
    <w:bookmarkEnd w:id="115"/>
    <w:bookmarkStart w:id="117"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16">
        <w:r>
          <w:rPr>
            <w:rStyle w:val="Hyperlink"/>
          </w:rPr>
          <w:t xml:space="preserve">https://doi.org/gd2hgf</w:t>
        </w:r>
      </w:hyperlink>
    </w:p>
    <w:bookmarkEnd w:id="117"/>
    <w:bookmarkStart w:id="119"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18">
        <w:r>
          <w:rPr>
            <w:rStyle w:val="Hyperlink"/>
          </w:rPr>
          <w:t xml:space="preserve">https://doi.org/bskdps</w:t>
        </w:r>
      </w:hyperlink>
    </w:p>
    <w:bookmarkEnd w:id="119"/>
    <w:bookmarkStart w:id="121" w:name="ref-liebmanManyLittleHammers1997"/>
    <w:p>
      <w:pPr>
        <w:pStyle w:val="Bibliography"/>
      </w:pPr>
      <w:r>
        <w:t xml:space="preserve">Liebman, M., and Gallandt, E. R. (1997). Many little hammers:</w:t>
      </w:r>
      <w:r>
        <w:t xml:space="preserve"> </w:t>
      </w:r>
      <w:r>
        <w:t xml:space="preserve">Ecological</w:t>
      </w:r>
      <w:r>
        <w:t xml:space="preserve"> </w:t>
      </w:r>
      <w:r>
        <w:t xml:space="preserve">management of crop-weed interactions. In L. E. Jackson (Ed.),</w:t>
      </w:r>
      <w:r>
        <w:t xml:space="preserve"> </w:t>
      </w:r>
      <w:r>
        <w:rPr>
          <w:iCs/>
          <w:i/>
        </w:rPr>
        <w:t xml:space="preserve">Ecology in</w:t>
      </w:r>
      <w:r>
        <w:rPr>
          <w:iCs/>
          <w:i/>
        </w:rPr>
        <w:t xml:space="preserve"> </w:t>
      </w:r>
      <w:r>
        <w:rPr>
          <w:iCs/>
          <w:i/>
        </w:rPr>
        <w:t xml:space="preserve">Agriculture</w:t>
      </w:r>
      <w:r>
        <w:t xml:space="preserve"> </w:t>
      </w:r>
      <w:r>
        <w:t xml:space="preserve">(pp. 291–343).</w:t>
      </w:r>
      <w:r>
        <w:t xml:space="preserve"> </w:t>
      </w:r>
      <w:r>
        <w:t xml:space="preserve">Academic Press</w:t>
      </w:r>
      <w:r>
        <w:t xml:space="preserve">.</w:t>
      </w:r>
      <w:r>
        <w:t xml:space="preserve"> </w:t>
      </w:r>
      <w:hyperlink r:id="rId120">
        <w:r>
          <w:rPr>
            <w:rStyle w:val="Hyperlink"/>
          </w:rPr>
          <w:t xml:space="preserve">https://doi.org/10.1016/B978-012378260-1/50010-5</w:t>
        </w:r>
      </w:hyperlink>
    </w:p>
    <w:bookmarkEnd w:id="121"/>
    <w:bookmarkStart w:id="123"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22">
        <w:r>
          <w:rPr>
            <w:rStyle w:val="Hyperlink"/>
          </w:rPr>
          <w:t xml:space="preserve">https://doi.org/gpsrmj</w:t>
        </w:r>
      </w:hyperlink>
    </w:p>
    <w:bookmarkEnd w:id="123"/>
    <w:bookmarkStart w:id="125"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24">
        <w:r>
          <w:rPr>
            <w:rStyle w:val="Hyperlink"/>
          </w:rPr>
          <w:t xml:space="preserve">https://doi.org/gpsrmk</w:t>
        </w:r>
      </w:hyperlink>
    </w:p>
    <w:bookmarkEnd w:id="125"/>
    <w:bookmarkStart w:id="127"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26">
        <w:r>
          <w:rPr>
            <w:rStyle w:val="Hyperlink"/>
          </w:rPr>
          <w:t xml:space="preserve">https://doi.org/10.1614/WS-03-060R</w:t>
        </w:r>
      </w:hyperlink>
    </w:p>
    <w:bookmarkEnd w:id="127"/>
    <w:bookmarkStart w:id="129"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28">
        <w:r>
          <w:rPr>
            <w:rStyle w:val="Hyperlink"/>
          </w:rPr>
          <w:t xml:space="preserve">https://doi.org/f37vn9</w:t>
        </w:r>
      </w:hyperlink>
    </w:p>
    <w:bookmarkEnd w:id="129"/>
    <w:bookmarkStart w:id="130"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30"/>
    <w:bookmarkStart w:id="132"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31">
        <w:r>
          <w:rPr>
            <w:rStyle w:val="Hyperlink"/>
          </w:rPr>
          <w:t xml:space="preserve">https://doi.org/f4vgfs</w:t>
        </w:r>
      </w:hyperlink>
    </w:p>
    <w:bookmarkEnd w:id="132"/>
    <w:bookmarkStart w:id="134"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33">
        <w:r>
          <w:rPr>
            <w:rStyle w:val="Hyperlink"/>
          </w:rPr>
          <w:t xml:space="preserve">https://doi.org/dzh845</w:t>
        </w:r>
      </w:hyperlink>
    </w:p>
    <w:bookmarkEnd w:id="134"/>
    <w:bookmarkStart w:id="136"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35">
        <w:r>
          <w:rPr>
            <w:rStyle w:val="Hyperlink"/>
          </w:rPr>
          <w:t xml:space="preserve">https://doi.org/bhs6vt</w:t>
        </w:r>
      </w:hyperlink>
    </w:p>
    <w:bookmarkEnd w:id="136"/>
    <w:bookmarkStart w:id="137"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37"/>
    <w:bookmarkStart w:id="139"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38">
        <w:r>
          <w:rPr>
            <w:rStyle w:val="Hyperlink"/>
          </w:rPr>
          <w:t xml:space="preserve">https://doi.org/gjpz5w</w:t>
        </w:r>
      </w:hyperlink>
    </w:p>
    <w:bookmarkEnd w:id="139"/>
    <w:bookmarkStart w:id="140"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40"/>
    <w:bookmarkStart w:id="142"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41">
        <w:r>
          <w:rPr>
            <w:rStyle w:val="Hyperlink"/>
          </w:rPr>
          <w:t xml:space="preserve">https://doi.org/f5z7zc</w:t>
        </w:r>
      </w:hyperlink>
    </w:p>
    <w:bookmarkEnd w:id="142"/>
    <w:bookmarkStart w:id="143"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hyperlink" Id="rId120" Target="https://doi.org/10.1016/B978-012378260-1/50010-5" TargetMode="External" /><Relationship Type="http://schemas.openxmlformats.org/officeDocument/2006/relationships/hyperlink" Id="rId98" Target="https://doi.org/10.1017/CBO9780511608629" TargetMode="External" /><Relationship Type="http://schemas.openxmlformats.org/officeDocument/2006/relationships/hyperlink" Id="rId126" Target="https://doi.org/10.1614/WS-03-060R" TargetMode="External" /><Relationship Type="http://schemas.openxmlformats.org/officeDocument/2006/relationships/hyperlink" Id="rId104" Target="https://doi.org/10.31274/rtd-180814-161" TargetMode="External" /><Relationship Type="http://schemas.openxmlformats.org/officeDocument/2006/relationships/hyperlink" Id="rId135" Target="https://doi.org/bhs6vt" TargetMode="External" /><Relationship Type="http://schemas.openxmlformats.org/officeDocument/2006/relationships/hyperlink" Id="rId102" Target="https://doi.org/bmncpf" TargetMode="External" /><Relationship Type="http://schemas.openxmlformats.org/officeDocument/2006/relationships/hyperlink" Id="rId118" Target="https://doi.org/bskdps" TargetMode="External" /><Relationship Type="http://schemas.openxmlformats.org/officeDocument/2006/relationships/hyperlink" Id="rId108" Target="https://doi.org/bxq7q8" TargetMode="External" /><Relationship Type="http://schemas.openxmlformats.org/officeDocument/2006/relationships/hyperlink" Id="rId96" Target="https://doi.org/cbjqq5" TargetMode="External" /><Relationship Type="http://schemas.openxmlformats.org/officeDocument/2006/relationships/hyperlink" Id="rId110" Target="https://doi.org/cdzbdn" TargetMode="External" /><Relationship Type="http://schemas.openxmlformats.org/officeDocument/2006/relationships/hyperlink" Id="rId112" Target="https://doi.org/cmhpxk" TargetMode="External" /><Relationship Type="http://schemas.openxmlformats.org/officeDocument/2006/relationships/hyperlink" Id="rId100" Target="https://doi.org/d824tt" TargetMode="External" /><Relationship Type="http://schemas.openxmlformats.org/officeDocument/2006/relationships/hyperlink" Id="rId90" Target="https://doi.org/d8wnfq" TargetMode="External" /><Relationship Type="http://schemas.openxmlformats.org/officeDocument/2006/relationships/hyperlink" Id="rId92" Target="https://doi.org/dmnt6f" TargetMode="External" /><Relationship Type="http://schemas.openxmlformats.org/officeDocument/2006/relationships/hyperlink" Id="rId106" Target="https://doi.org/dmvcdf" TargetMode="External" /><Relationship Type="http://schemas.openxmlformats.org/officeDocument/2006/relationships/hyperlink" Id="rId114" Target="https://doi.org/dxmb34" TargetMode="External" /><Relationship Type="http://schemas.openxmlformats.org/officeDocument/2006/relationships/hyperlink" Id="rId133" Target="https://doi.org/dzh845" TargetMode="External" /><Relationship Type="http://schemas.openxmlformats.org/officeDocument/2006/relationships/hyperlink" Id="rId128" Target="https://doi.org/f37vn9" TargetMode="External" /><Relationship Type="http://schemas.openxmlformats.org/officeDocument/2006/relationships/hyperlink" Id="rId131" Target="https://doi.org/f4vgfs" TargetMode="External" /><Relationship Type="http://schemas.openxmlformats.org/officeDocument/2006/relationships/hyperlink" Id="rId141" Target="https://doi.org/f5z7zc" TargetMode="External" /><Relationship Type="http://schemas.openxmlformats.org/officeDocument/2006/relationships/hyperlink" Id="rId116" Target="https://doi.org/gd2hgf" TargetMode="External" /><Relationship Type="http://schemas.openxmlformats.org/officeDocument/2006/relationships/hyperlink" Id="rId138" Target="https://doi.org/gjpz5w" TargetMode="External" /><Relationship Type="http://schemas.openxmlformats.org/officeDocument/2006/relationships/hyperlink" Id="rId122" Target="https://doi.org/gpsrmj" TargetMode="External" /><Relationship Type="http://schemas.openxmlformats.org/officeDocument/2006/relationships/hyperlink" Id="rId124"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20" Target="https://doi.org/10.1016/B978-012378260-1/50010-5" TargetMode="External" /><Relationship Type="http://schemas.openxmlformats.org/officeDocument/2006/relationships/hyperlink" Id="rId98" Target="https://doi.org/10.1017/CBO9780511608629" TargetMode="External" /><Relationship Type="http://schemas.openxmlformats.org/officeDocument/2006/relationships/hyperlink" Id="rId126" Target="https://doi.org/10.1614/WS-03-060R" TargetMode="External" /><Relationship Type="http://schemas.openxmlformats.org/officeDocument/2006/relationships/hyperlink" Id="rId104" Target="https://doi.org/10.31274/rtd-180814-161" TargetMode="External" /><Relationship Type="http://schemas.openxmlformats.org/officeDocument/2006/relationships/hyperlink" Id="rId135" Target="https://doi.org/bhs6vt" TargetMode="External" /><Relationship Type="http://schemas.openxmlformats.org/officeDocument/2006/relationships/hyperlink" Id="rId102" Target="https://doi.org/bmncpf" TargetMode="External" /><Relationship Type="http://schemas.openxmlformats.org/officeDocument/2006/relationships/hyperlink" Id="rId118" Target="https://doi.org/bskdps" TargetMode="External" /><Relationship Type="http://schemas.openxmlformats.org/officeDocument/2006/relationships/hyperlink" Id="rId108" Target="https://doi.org/bxq7q8" TargetMode="External" /><Relationship Type="http://schemas.openxmlformats.org/officeDocument/2006/relationships/hyperlink" Id="rId96" Target="https://doi.org/cbjqq5" TargetMode="External" /><Relationship Type="http://schemas.openxmlformats.org/officeDocument/2006/relationships/hyperlink" Id="rId110" Target="https://doi.org/cdzbdn" TargetMode="External" /><Relationship Type="http://schemas.openxmlformats.org/officeDocument/2006/relationships/hyperlink" Id="rId112" Target="https://doi.org/cmhpxk" TargetMode="External" /><Relationship Type="http://schemas.openxmlformats.org/officeDocument/2006/relationships/hyperlink" Id="rId100" Target="https://doi.org/d824tt" TargetMode="External" /><Relationship Type="http://schemas.openxmlformats.org/officeDocument/2006/relationships/hyperlink" Id="rId90" Target="https://doi.org/d8wnfq" TargetMode="External" /><Relationship Type="http://schemas.openxmlformats.org/officeDocument/2006/relationships/hyperlink" Id="rId92" Target="https://doi.org/dmnt6f" TargetMode="External" /><Relationship Type="http://schemas.openxmlformats.org/officeDocument/2006/relationships/hyperlink" Id="rId106" Target="https://doi.org/dmvcdf" TargetMode="External" /><Relationship Type="http://schemas.openxmlformats.org/officeDocument/2006/relationships/hyperlink" Id="rId114" Target="https://doi.org/dxmb34" TargetMode="External" /><Relationship Type="http://schemas.openxmlformats.org/officeDocument/2006/relationships/hyperlink" Id="rId133" Target="https://doi.org/dzh845" TargetMode="External" /><Relationship Type="http://schemas.openxmlformats.org/officeDocument/2006/relationships/hyperlink" Id="rId128" Target="https://doi.org/f37vn9" TargetMode="External" /><Relationship Type="http://schemas.openxmlformats.org/officeDocument/2006/relationships/hyperlink" Id="rId131" Target="https://doi.org/f4vgfs" TargetMode="External" /><Relationship Type="http://schemas.openxmlformats.org/officeDocument/2006/relationships/hyperlink" Id="rId141" Target="https://doi.org/f5z7zc" TargetMode="External" /><Relationship Type="http://schemas.openxmlformats.org/officeDocument/2006/relationships/hyperlink" Id="rId116" Target="https://doi.org/gd2hgf" TargetMode="External" /><Relationship Type="http://schemas.openxmlformats.org/officeDocument/2006/relationships/hyperlink" Id="rId138" Target="https://doi.org/gjpz5w" TargetMode="External" /><Relationship Type="http://schemas.openxmlformats.org/officeDocument/2006/relationships/hyperlink" Id="rId122" Target="https://doi.org/gpsrmj" TargetMode="External" /><Relationship Type="http://schemas.openxmlformats.org/officeDocument/2006/relationships/hyperlink" Id="rId124"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A prospective and retrospective analysis</dc:title>
  <dc:creator/>
  <cp:keywords/>
  <dcterms:created xsi:type="dcterms:W3CDTF">2022-06-07T14:08:42Z</dcterms:created>
  <dcterms:modified xsi:type="dcterms:W3CDTF">2022-06-07T14:08:42Z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prospective-pop-dynamics.bib</vt:lpwstr>
  </property>
  <property fmtid="{D5CDD505-2E9C-101B-9397-08002B2CF9AE}" pid="3" name="csl">
    <vt:lpwstr>apa-no-ampersand.csl</vt:lpwstr>
  </property>
  <property fmtid="{D5CDD505-2E9C-101B-9397-08002B2CF9AE}" pid="4" name="output">
    <vt:lpwstr/>
  </property>
</Properties>
</file>