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518A" w14:textId="77777777" w:rsidR="00BF3077" w:rsidRDefault="00BF3077" w:rsidP="00D50989">
      <w:pPr>
        <w:pStyle w:val="Heading1"/>
        <w:rPr>
          <w:color w:val="000000" w:themeColor="text1"/>
        </w:rPr>
      </w:pPr>
      <w:r>
        <w:rPr>
          <w:color w:val="000000" w:themeColor="text1"/>
        </w:rPr>
        <w:t>Abstract</w:t>
      </w:r>
    </w:p>
    <w:p w14:paraId="036632B5" w14:textId="72C318C9" w:rsidR="00D50989" w:rsidRPr="00D50989" w:rsidRDefault="00D50989" w:rsidP="00D50989">
      <w:pPr>
        <w:spacing w:before="100" w:beforeAutospacing="1" w:after="100" w:afterAutospacing="1"/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</w:pPr>
      <w:r>
        <w:rPr>
          <w:rFonts w:ascii="Open Sans" w:eastAsia="Times New Roman" w:hAnsi="Open Sans" w:cs="Open Sans"/>
          <w:i/>
          <w:iCs/>
          <w:color w:val="1C1D1E"/>
          <w:kern w:val="0"/>
          <w:sz w:val="21"/>
          <w:szCs w:val="21"/>
          <w14:ligatures w14:val="none"/>
        </w:rPr>
        <w:t>F</w:t>
      </w:r>
      <w:r w:rsidRPr="00D50989">
        <w:rPr>
          <w:rFonts w:ascii="Open Sans" w:eastAsia="Times New Roman" w:hAnsi="Open Sans" w:cs="Open Sans"/>
          <w:i/>
          <w:iCs/>
          <w:color w:val="1C1D1E"/>
          <w:kern w:val="0"/>
          <w:sz w:val="21"/>
          <w:szCs w:val="21"/>
          <w14:ligatures w14:val="none"/>
        </w:rPr>
        <w:t>or original research articles</w:t>
      </w:r>
      <w:r w:rsidRPr="00D50989"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  <w:t>, use a compound abstract (up to 250 words) in a three-part format with uppercase headed sections: </w:t>
      </w:r>
    </w:p>
    <w:p w14:paraId="02B3F5D1" w14:textId="77777777" w:rsidR="00D50989" w:rsidRPr="00D50989" w:rsidRDefault="00D50989" w:rsidP="00D50989">
      <w:pPr>
        <w:ind w:left="720"/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</w:pPr>
      <w:r w:rsidRPr="00D50989"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  <w:t>BACKGROUND: provides a rationale for the study (understandable to a broad audience) and states the main aim(s).</w:t>
      </w:r>
    </w:p>
    <w:p w14:paraId="4CE9FEE9" w14:textId="77777777" w:rsidR="00D50989" w:rsidRPr="00D50989" w:rsidRDefault="00D50989" w:rsidP="00D50989">
      <w:pPr>
        <w:ind w:left="720"/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</w:pPr>
      <w:r w:rsidRPr="00D50989"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  <w:t>RESULTS: describes the main findings, including important numerical values.</w:t>
      </w:r>
    </w:p>
    <w:p w14:paraId="47E4FC06" w14:textId="77777777" w:rsidR="00D50989" w:rsidRPr="00D50989" w:rsidRDefault="00D50989" w:rsidP="00D50989">
      <w:pPr>
        <w:ind w:left="720"/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</w:pPr>
      <w:r w:rsidRPr="00D50989">
        <w:rPr>
          <w:rFonts w:ascii="Open Sans" w:eastAsia="Times New Roman" w:hAnsi="Open Sans" w:cs="Open Sans"/>
          <w:color w:val="1C1D1E"/>
          <w:kern w:val="0"/>
          <w:sz w:val="21"/>
          <w:szCs w:val="21"/>
          <w14:ligatures w14:val="none"/>
        </w:rPr>
        <w:t>CONCLUSION: provides the main conclusions, including why the results are significant and advance the field.</w:t>
      </w:r>
    </w:p>
    <w:p w14:paraId="0C9BA172" w14:textId="6B821651" w:rsidR="00D50989" w:rsidRDefault="00D50989" w:rsidP="00D50989">
      <w:pPr>
        <w:pStyle w:val="FirstParagraph"/>
      </w:pPr>
      <w:r>
        <w:t xml:space="preserve">BACKGROUND: </w:t>
      </w:r>
      <w:r w:rsidR="00BF3077">
        <w:t xml:space="preserve">Crop biophysical characteristics and management practices can affect weed population dynamics in </w:t>
      </w:r>
      <w:proofErr w:type="gramStart"/>
      <w:r w:rsidR="00BF3077">
        <w:t>various ways</w:t>
      </w:r>
      <w:proofErr w:type="gramEnd"/>
      <w:r w:rsidR="00BF3077">
        <w:t>. To follow a common waterhemp (</w:t>
      </w:r>
      <w:r w:rsidR="00BF3077" w:rsidRPr="001E02F4">
        <w:rPr>
          <w:i/>
          <w:iCs/>
        </w:rPr>
        <w:t>Amaranthus tuberculatus</w:t>
      </w:r>
      <w:r w:rsidR="00BF3077">
        <w:t xml:space="preserve"> </w:t>
      </w:r>
      <w:r w:rsidR="00BF3077" w:rsidRPr="009F1439">
        <w:rPr>
          <w:color w:val="000000" w:themeColor="text1"/>
        </w:rPr>
        <w:t>(Moq.) J.D. Sauer)</w:t>
      </w:r>
      <w:r w:rsidR="00BF3077">
        <w:rPr>
          <w:color w:val="000000" w:themeColor="text1"/>
        </w:rPr>
        <w:t xml:space="preserve"> </w:t>
      </w:r>
      <w:r w:rsidR="00BF3077">
        <w:t xml:space="preserve">population from seed in the soil seedbank to new seed deposition to the soil seedbank, </w:t>
      </w:r>
      <w:r w:rsidR="00BF3077">
        <w:rPr>
          <w:highlight w:val="yellow"/>
        </w:rPr>
        <w:t>w</w:t>
      </w:r>
      <w:r w:rsidR="00BF3077" w:rsidRPr="000845E1">
        <w:rPr>
          <w:highlight w:val="yellow"/>
        </w:rPr>
        <w:t xml:space="preserve">e used a chain of six periodic matrices in each of nine crop environments to project population trajectories in two scenarios of plant fecundity, representing two levels of </w:t>
      </w:r>
      <w:r w:rsidR="00BF3077">
        <w:rPr>
          <w:highlight w:val="yellow"/>
        </w:rPr>
        <w:t xml:space="preserve">weed </w:t>
      </w:r>
      <w:r w:rsidR="00BF3077" w:rsidRPr="000845E1">
        <w:rPr>
          <w:highlight w:val="yellow"/>
        </w:rPr>
        <w:t>control efficacy (high and low)</w:t>
      </w:r>
      <w:r w:rsidR="00BF3077">
        <w:t xml:space="preserve">. The chain of periodic matrices described the response to crop management activities of the population of interest throughout a calendar year. To parameterize the model, we used values derived from both scientific literature and our own field observations. Each crop environment identified a crop species (corn, soybean, oat, or alfalfa) in a rotation (2-year, 3-year, or 4-year). The crop sequences in the 2-year, 3-year, and 4-year rotations were, respectively, corn - soybean; corn - soybean - oat intercropped with red clover; and corn - soybean - oat intercropped with alfalfa - alfalfa. </w:t>
      </w:r>
    </w:p>
    <w:p w14:paraId="3DF2F5B4" w14:textId="0B92128C" w:rsidR="00D50989" w:rsidRDefault="00D50989" w:rsidP="00D50989">
      <w:pPr>
        <w:pStyle w:val="FirstParagraph"/>
        <w:rPr>
          <w:highlight w:val="yellow"/>
        </w:rPr>
      </w:pPr>
      <w:r>
        <w:t xml:space="preserve">RESULTS: </w:t>
      </w:r>
      <w:r w:rsidR="00BF3077" w:rsidRPr="000845E1">
        <w:rPr>
          <w:highlight w:val="yellow"/>
        </w:rPr>
        <w:t>Under the high control efficacy scenario, f</w:t>
      </w:r>
      <w:r w:rsidR="00BF3077">
        <w:rPr>
          <w:highlight w:val="yellow"/>
        </w:rPr>
        <w:t>our</w:t>
      </w:r>
      <w:r w:rsidR="00BF3077" w:rsidRPr="000845E1">
        <w:rPr>
          <w:highlight w:val="yellow"/>
        </w:rPr>
        <w:t xml:space="preserve"> waterhemp population sizes declined at the annualized rate of </w:t>
      </w:r>
      <m:oMath>
        <m:r>
          <w:rPr>
            <w:rFonts w:ascii="Cambria Math" w:hAnsi="Cambria Math"/>
            <w:highlight w:val="yellow"/>
          </w:rPr>
          <m:t>λ</m:t>
        </m:r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0.58</m:t>
        </m:r>
      </m:oMath>
      <w:r w:rsidR="00BF3077" w:rsidRPr="000845E1">
        <w:rPr>
          <w:highlight w:val="yellow"/>
        </w:rPr>
        <w:t xml:space="preserve"> to </w:t>
      </w:r>
      <m:oMath>
        <m:r>
          <w:rPr>
            <w:rFonts w:ascii="Cambria Math" w:hAnsi="Cambria Math"/>
            <w:highlight w:val="yellow"/>
          </w:rPr>
          <m:t>λ</m:t>
        </m:r>
        <m:r>
          <m:rPr>
            <m:sty m:val="p"/>
          </m:rPr>
          <w:rPr>
            <w:rFonts w:ascii="Cambria Math" w:hAnsi="Cambria Math"/>
            <w:highlight w:val="yellow"/>
          </w:rPr>
          <m:t>= 0.77</m:t>
        </m:r>
      </m:oMath>
      <w:r w:rsidR="00BF3077" w:rsidRPr="000845E1">
        <w:rPr>
          <w:rFonts w:eastAsiaTheme="minorEastAsia"/>
          <w:highlight w:val="yellow"/>
        </w:rPr>
        <w:t xml:space="preserve">, </w:t>
      </w:r>
      <w:r w:rsidR="00BF3077">
        <w:rPr>
          <w:rFonts w:eastAsiaTheme="minorEastAsia"/>
          <w:highlight w:val="yellow"/>
        </w:rPr>
        <w:t>and two</w:t>
      </w:r>
      <w:r w:rsidR="00BF3077" w:rsidRPr="000845E1">
        <w:rPr>
          <w:rFonts w:eastAsiaTheme="minorEastAsia"/>
          <w:highlight w:val="yellow"/>
        </w:rPr>
        <w:t xml:space="preserve"> waterhemp population size</w:t>
      </w:r>
      <w:r w:rsidR="00BF3077">
        <w:rPr>
          <w:rFonts w:eastAsiaTheme="minorEastAsia"/>
          <w:highlight w:val="yellow"/>
        </w:rPr>
        <w:t>s</w:t>
      </w:r>
      <w:r w:rsidR="00BF3077" w:rsidRPr="000845E1">
        <w:rPr>
          <w:rFonts w:eastAsiaTheme="minorEastAsia"/>
          <w:highlight w:val="yellow"/>
        </w:rPr>
        <w:t xml:space="preserve"> slightly increased (</w:t>
      </w:r>
      <m:oMath>
        <m:r>
          <w:rPr>
            <w:rFonts w:ascii="Cambria Math" w:hAnsi="Cambria Math"/>
            <w:highlight w:val="yellow"/>
          </w:rPr>
          <m:t>λ</m:t>
        </m:r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1.08</m:t>
        </m:r>
      </m:oMath>
      <w:r w:rsidR="00BF3077">
        <w:rPr>
          <w:rFonts w:eastAsiaTheme="minorEastAsia"/>
          <w:highlight w:val="yellow"/>
        </w:rPr>
        <w:t xml:space="preserve"> and </w:t>
      </w:r>
      <m:oMath>
        <m:r>
          <w:rPr>
            <w:rFonts w:ascii="Cambria Math" w:hAnsi="Cambria Math"/>
            <w:highlight w:val="yellow"/>
          </w:rPr>
          <m:t>λ</m:t>
        </m:r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1.18</m:t>
        </m:r>
      </m:oMath>
      <w:r w:rsidR="00BF3077">
        <w:rPr>
          <w:rFonts w:eastAsiaTheme="minorEastAsia"/>
          <w:highlight w:val="yellow"/>
        </w:rPr>
        <w:t>)</w:t>
      </w:r>
      <w:r w:rsidR="00BF3077" w:rsidRPr="000845E1">
        <w:rPr>
          <w:rFonts w:eastAsiaTheme="minorEastAsia"/>
          <w:highlight w:val="yellow"/>
        </w:rPr>
        <w:t xml:space="preserve">. </w:t>
      </w:r>
      <w:r w:rsidR="00BF3077" w:rsidRPr="000845E1">
        <w:rPr>
          <w:highlight w:val="yellow"/>
        </w:rPr>
        <w:t>Under the low control efficacy scenario, waterhemp population sizes increased the fastest in the 2-year rotation (</w:t>
      </w:r>
      <m:oMath>
        <m:r>
          <w:rPr>
            <w:rFonts w:ascii="Cambria Math" w:hAnsi="Cambria Math"/>
            <w:highlight w:val="yellow"/>
          </w:rPr>
          <m:t>λ</m:t>
        </m:r>
        <m:r>
          <m:rPr>
            <m:sty m:val="p"/>
          </m:rPr>
          <w:rPr>
            <w:rFonts w:ascii="Cambria Math" w:hAnsi="Cambria Math"/>
            <w:highlight w:val="yellow"/>
          </w:rPr>
          <m:t>=</m:t>
        </m:r>
      </m:oMath>
      <w:r w:rsidR="00BF3077" w:rsidRPr="000845E1">
        <w:rPr>
          <w:highlight w:val="yellow"/>
        </w:rPr>
        <w:t>) and the slowest in the 4-year rotation (</w:t>
      </w:r>
      <m:oMath>
        <m:r>
          <w:rPr>
            <w:rFonts w:ascii="Cambria Math" w:hAnsi="Cambria Math"/>
            <w:highlight w:val="yellow"/>
          </w:rPr>
          <m:t>λ</m:t>
        </m:r>
        <m:r>
          <m:rPr>
            <m:sty m:val="p"/>
          </m:rPr>
          <w:rPr>
            <w:rFonts w:ascii="Cambria Math" w:hAnsi="Cambria Math"/>
            <w:highlight w:val="yellow"/>
          </w:rPr>
          <m:t>=</m:t>
        </m:r>
      </m:oMath>
      <w:r w:rsidR="00BF3077" w:rsidRPr="000845E1">
        <w:rPr>
          <w:highlight w:val="yellow"/>
        </w:rPr>
        <w:t xml:space="preserve">). The slower rates of population growth in the more diverse rotation were attributed to </w:t>
      </w:r>
      <w:r w:rsidR="00BF3077">
        <w:rPr>
          <w:highlight w:val="yellow"/>
        </w:rPr>
        <w:t>lower</w:t>
      </w:r>
      <w:r w:rsidR="00BF3077" w:rsidRPr="000845E1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λ</m:t>
        </m:r>
      </m:oMath>
      <w:r w:rsidR="00BF3077" w:rsidRPr="000845E1">
        <w:rPr>
          <w:highlight w:val="yellow"/>
        </w:rPr>
        <w:t xml:space="preserve"> in the oat, red clover, and alfalfa crop environments </w:t>
      </w:r>
      <w:r w:rsidR="00BF3077">
        <w:rPr>
          <w:highlight w:val="yellow"/>
        </w:rPr>
        <w:t>(</w:t>
      </w:r>
      <w:r w:rsidR="00BF3077" w:rsidRPr="000845E1">
        <w:rPr>
          <w:highlight w:val="yellow"/>
        </w:rPr>
        <w:t>cool-season crops</w:t>
      </w:r>
      <w:r w:rsidR="00BF3077">
        <w:rPr>
          <w:highlight w:val="yellow"/>
        </w:rPr>
        <w:t>)</w:t>
      </w:r>
      <w:r w:rsidR="00BF3077" w:rsidRPr="000845E1">
        <w:rPr>
          <w:highlight w:val="yellow"/>
        </w:rPr>
        <w:t xml:space="preserve">. In addition to population projection, we </w:t>
      </w:r>
      <w:r w:rsidR="00BF3077">
        <w:rPr>
          <w:highlight w:val="yellow"/>
        </w:rPr>
        <w:t>determined</w:t>
      </w:r>
      <w:r w:rsidR="00BF3077" w:rsidRPr="000845E1">
        <w:rPr>
          <w:highlight w:val="yellow"/>
        </w:rPr>
        <w:t xml:space="preserve"> </w:t>
      </w:r>
      <w:r w:rsidR="00BF3077">
        <w:rPr>
          <w:highlight w:val="yellow"/>
        </w:rPr>
        <w:t xml:space="preserve">thresholds for </w:t>
      </w:r>
      <w:r w:rsidR="00BF3077" w:rsidRPr="000845E1">
        <w:rPr>
          <w:highlight w:val="yellow"/>
        </w:rPr>
        <w:t xml:space="preserve">seed production and mature plant density in the three rotations for stabilizing population size using the </w:t>
      </w:r>
      <w:r w:rsidR="00BF3077">
        <w:rPr>
          <w:highlight w:val="yellow"/>
        </w:rPr>
        <w:t xml:space="preserve">parameter </w:t>
      </w:r>
      <w:r w:rsidR="00BF3077" w:rsidRPr="000845E1">
        <w:rPr>
          <w:highlight w:val="yellow"/>
        </w:rPr>
        <w:t>inputs from the low</w:t>
      </w:r>
      <w:r w:rsidR="00BF3077">
        <w:rPr>
          <w:highlight w:val="yellow"/>
        </w:rPr>
        <w:t xml:space="preserve"> control </w:t>
      </w:r>
      <w:r w:rsidR="00BF3077" w:rsidRPr="000845E1">
        <w:rPr>
          <w:highlight w:val="yellow"/>
        </w:rPr>
        <w:t>efficacy scenario.</w:t>
      </w:r>
    </w:p>
    <w:p w14:paraId="5EF8E469" w14:textId="48471F21" w:rsidR="00BF3077" w:rsidRPr="00FC1AD5" w:rsidRDefault="00D50989" w:rsidP="00D50989">
      <w:pPr>
        <w:pStyle w:val="FirstParagraph"/>
      </w:pPr>
      <w:r>
        <w:rPr>
          <w:highlight w:val="yellow"/>
        </w:rPr>
        <w:t>CONCLUSIONS:</w:t>
      </w:r>
      <w:r w:rsidR="00BF3077" w:rsidRPr="000845E1">
        <w:rPr>
          <w:highlight w:val="yellow"/>
        </w:rPr>
        <w:t xml:space="preserve"> The difference</w:t>
      </w:r>
      <w:r w:rsidR="00BF3077">
        <w:rPr>
          <w:highlight w:val="yellow"/>
        </w:rPr>
        <w:t>s</w:t>
      </w:r>
      <w:r w:rsidR="00BF3077" w:rsidRPr="000845E1">
        <w:rPr>
          <w:highlight w:val="yellow"/>
        </w:rPr>
        <w:t xml:space="preserve"> in seed production and mature plant density thresholds </w:t>
      </w:r>
      <w:r w:rsidR="00BF3077">
        <w:rPr>
          <w:highlight w:val="yellow"/>
        </w:rPr>
        <w:t>were</w:t>
      </w:r>
      <w:r w:rsidR="00BF3077" w:rsidRPr="000845E1">
        <w:rPr>
          <w:highlight w:val="yellow"/>
        </w:rPr>
        <w:t xml:space="preserve"> more pronounced between the 2-year and 4-year rotations than any other pairwise comparison.</w:t>
      </w:r>
      <w:r w:rsidR="00BF3077">
        <w:t xml:space="preserve"> When waterhemp control efficacy was high, the 3-year rotation </w:t>
      </w:r>
      <w:r>
        <w:t>appeared</w:t>
      </w:r>
      <w:r w:rsidR="00BF3077">
        <w:t xml:space="preserve"> the most reliable in depleting the soil seedbank. When waterhemp control efficacy was low, the 4-year rotation </w:t>
      </w:r>
      <w:r>
        <w:t>appeared</w:t>
      </w:r>
      <w:r w:rsidR="00BF3077">
        <w:t xml:space="preserve"> the least risky for preventing waterhemp outbreaks. </w:t>
      </w:r>
    </w:p>
    <w:p w14:paraId="19134BF3" w14:textId="77777777" w:rsidR="008E1CA3" w:rsidRDefault="00000000" w:rsidP="00D50989"/>
    <w:sectPr w:rsidR="008E1CA3" w:rsidSect="0004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77"/>
    <w:rsid w:val="00044EA8"/>
    <w:rsid w:val="007C386F"/>
    <w:rsid w:val="009E3371"/>
    <w:rsid w:val="00BB07FC"/>
    <w:rsid w:val="00BF3077"/>
    <w:rsid w:val="00C44234"/>
    <w:rsid w:val="00D50989"/>
    <w:rsid w:val="00E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95672"/>
  <w15:chartTrackingRefBased/>
  <w15:docId w15:val="{B2172480-E0EB-6F48-A60E-BB0F3FDA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F30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77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BF3077"/>
    <w:pPr>
      <w:spacing w:before="180" w:after="180"/>
    </w:pPr>
    <w:rPr>
      <w:kern w:val="0"/>
      <w14:ligatures w14:val="none"/>
    </w:rPr>
  </w:style>
  <w:style w:type="character" w:styleId="CommentReference">
    <w:name w:val="annotation reference"/>
    <w:basedOn w:val="DefaultParagraphFont"/>
    <w:semiHidden/>
    <w:unhideWhenUsed/>
    <w:rsid w:val="00BF30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3077"/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BF3077"/>
    <w:rPr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F30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077"/>
  </w:style>
  <w:style w:type="paragraph" w:styleId="NormalWeb">
    <w:name w:val="Normal (Web)"/>
    <w:basedOn w:val="Normal"/>
    <w:uiPriority w:val="99"/>
    <w:semiHidden/>
    <w:unhideWhenUsed/>
    <w:rsid w:val="00D509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50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Huong T</dc:creator>
  <cp:keywords/>
  <dc:description/>
  <cp:lastModifiedBy>Nguyen, Huong T</cp:lastModifiedBy>
  <cp:revision>2</cp:revision>
  <dcterms:created xsi:type="dcterms:W3CDTF">2023-06-25T21:44:00Z</dcterms:created>
  <dcterms:modified xsi:type="dcterms:W3CDTF">2023-06-26T01:38:00Z</dcterms:modified>
</cp:coreProperties>
</file>