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dynamics</w:t>
      </w:r>
      <w:r>
        <w:t xml:space="preserve"> </w:t>
      </w:r>
      <w:r>
        <w:t xml:space="preserve">of</w:t>
      </w:r>
      <w:r>
        <w:t xml:space="preserve"> </w:t>
      </w:r>
      <w:r>
        <w:t xml:space="preserve">common</w:t>
      </w:r>
      <w:r>
        <w:t xml:space="preserve"> </w:t>
      </w:r>
      <w:r>
        <w:t xml:space="preserve">waterhemp</w:t>
      </w:r>
      <w:r>
        <w:t xml:space="preserve"> </w:t>
      </w:r>
      <w:r>
        <w:t xml:space="preserve">(</w:t>
      </w:r>
      <w:r>
        <w:rPr>
          <w:iCs/>
          <w:i/>
        </w:rPr>
        <w:t xml:space="preserve">Amaranthus</w:t>
      </w:r>
      <w:r>
        <w:rPr>
          <w:iCs/>
          <w:i/>
        </w:rPr>
        <w:t xml:space="preserve"> </w:t>
      </w:r>
      <w:r>
        <w:rPr>
          <w:iCs/>
          <w:i/>
        </w:rPr>
        <w:t xml:space="preserve">tuberculatus</w:t>
      </w:r>
      <w:r>
        <w:t xml:space="preserve">)</w:t>
      </w:r>
      <w:r>
        <w:t xml:space="preserve"> </w:t>
      </w:r>
      <w:r>
        <w:t xml:space="preserve">in</w:t>
      </w:r>
      <w:r>
        <w:t xml:space="preserve"> </w:t>
      </w:r>
      <w:r>
        <w:t xml:space="preserve">simple</w:t>
      </w:r>
      <w:r>
        <w:t xml:space="preserve"> </w:t>
      </w:r>
      <w:r>
        <w:t xml:space="preserve">and</w:t>
      </w:r>
      <w:r>
        <w:t xml:space="preserve"> </w:t>
      </w:r>
      <w:r>
        <w:t xml:space="preserve">more</w:t>
      </w:r>
      <w:r>
        <w:t xml:space="preserve"> </w:t>
      </w:r>
      <w:r>
        <w:t xml:space="preserve">diversified</w:t>
      </w:r>
      <w:r>
        <w:t xml:space="preserve"> </w:t>
      </w:r>
      <w:r>
        <w:t xml:space="preserve">cropping</w:t>
      </w:r>
      <w:r>
        <w:t xml:space="preserve"> </w:t>
      </w:r>
      <w:r>
        <w:t xml:space="preserve">systems:</w:t>
      </w:r>
      <w:r>
        <w:t xml:space="preserve"> </w:t>
      </w:r>
      <w:r>
        <w:t xml:space="preserve">a</w:t>
      </w:r>
      <w:r>
        <w:t xml:space="preserve"> </w:t>
      </w:r>
      <w:r>
        <w:t xml:space="preserve">prospective</w:t>
      </w:r>
      <w:r>
        <w:t xml:space="preserve"> </w:t>
      </w:r>
      <w:r>
        <w:t xml:space="preserve">analysis</w:t>
      </w:r>
    </w:p>
    <w:p>
      <w:pPr>
        <w:pStyle w:val="Date"/>
      </w:pPr>
      <w:r>
        <w:t xml:space="preserve">October</w:t>
      </w:r>
      <w:r>
        <w:t xml:space="preserve"> </w:t>
      </w:r>
      <w:r>
        <w:t xml:space="preserve">20,</w:t>
      </w:r>
      <w:r>
        <w:t xml:space="preserve"> </w:t>
      </w:r>
      <w:r>
        <w:t xml:space="preserve">2021</w:t>
      </w:r>
    </w:p>
    <w:bookmarkStart w:id="20" w:name="introduction"/>
    <w:p>
      <w:pPr>
        <w:pStyle w:val="Heading2"/>
      </w:pPr>
      <w:r>
        <w:t xml:space="preserve">Introduction</w:t>
      </w:r>
    </w:p>
    <w:p>
      <w:pPr>
        <w:pStyle w:val="FirstParagraph"/>
      </w:pPr>
      <w:r>
        <w:t xml:space="preserve">The ultimate goal of any weed control program is to prevent the target population from growing. One approach to doing so is to deplete the soil seedbank.</w:t>
      </w:r>
      <w:r>
        <w:t xml:space="preserve"> </w:t>
      </w:r>
      <w:r>
        <w:t xml:space="preserve">Seedbank depletion can be promoted by inducing seed fatal germination so that seeds germinate, but the seedlings fail to reach the soil surface and thus die</w:t>
      </w:r>
      <w:r>
        <w:t xml:space="preserve"> </w:t>
      </w:r>
      <w:r>
        <w:t xml:space="preserve">(</w:t>
      </w:r>
      <w:r>
        <w:rPr>
          <w:bCs/>
          <w:b/>
        </w:rPr>
        <w:t xml:space="preserve">davisInfluenceSeedDepth2007?</w:t>
      </w:r>
      <w:r>
        <w:t xml:space="preserve">)</w:t>
      </w:r>
      <w:r>
        <w:t xml:space="preserve">, and by fostering granivore activities so that viable, dormant seeds are consumed or damaged</w:t>
      </w:r>
      <w:r>
        <w:t xml:space="preserve"> </w:t>
      </w:r>
      <w:r>
        <w:t xml:space="preserve">(</w:t>
      </w:r>
      <w:r>
        <w:rPr>
          <w:bCs/>
          <w:b/>
        </w:rPr>
        <w:t xml:space="preserve">bagavathiannanPostdispersalLossImportant2013?</w:t>
      </w:r>
      <w:r>
        <w:t xml:space="preserve">;</w:t>
      </w:r>
      <w:r>
        <w:t xml:space="preserve"> </w:t>
      </w:r>
      <w:r>
        <w:rPr>
          <w:bCs/>
          <w:b/>
        </w:rPr>
        <w:t xml:space="preserve">kurstjensPreciseTillageSystems2007?</w:t>
      </w:r>
      <w:r>
        <w:t xml:space="preserve">)</w:t>
      </w:r>
      <w:r>
        <w:t xml:space="preserve">.</w:t>
      </w:r>
      <w:r>
        <w:t xml:space="preserve"> </w:t>
      </w:r>
      <w:r>
        <w:t xml:space="preserve">Seedbank depletion can also be promoted by targeting attacking the weed population at multiple other life-history stages which eventually limits the total number of seeds entering the soil seedbank</w:t>
      </w:r>
      <w:r>
        <w:t xml:space="preserve"> </w:t>
      </w:r>
      <w:r>
        <w:t xml:space="preserve">(</w:t>
      </w:r>
      <w:r>
        <w:rPr>
          <w:bCs/>
          <w:b/>
        </w:rPr>
        <w:t xml:space="preserve">liebmanManyLittleHammers1997?</w:t>
      </w:r>
      <w:r>
        <w:t xml:space="preserve">)</w:t>
      </w:r>
      <w:r>
        <w:t xml:space="preserve">.</w:t>
      </w:r>
      <w:r>
        <w:t xml:space="preserve"> </w:t>
      </w:r>
      <w:r>
        <w:t xml:space="preserve">Waterhemp can replenish its soil seedbank after just one year of prolific seed production so multiple tactics are required to effectively limit the number of seeds entering the soil seedbank</w:t>
      </w:r>
      <w:r>
        <w:t xml:space="preserve"> </w:t>
      </w:r>
      <w:r>
        <w:t xml:space="preserve">(</w:t>
      </w:r>
      <w:r>
        <w:rPr>
          <w:bCs/>
          <w:b/>
        </w:rPr>
        <w:t xml:space="preserve">davisWeedSeedPools2008?</w:t>
      </w:r>
      <w:r>
        <w:t xml:space="preserve">)</w:t>
      </w:r>
      <w:r>
        <w:t xml:space="preserve">.</w:t>
      </w:r>
      <w:r>
        <w:t xml:space="preserve"> </w:t>
      </w:r>
      <w:r>
        <w:t xml:space="preserve">For waterhemp management, literature has stressed the importance of seed shattering reduction, removal of seeds on the soil surface, and customization of tillage systems because the persistence of waterhemp seedbank is highly dependent on the local crop management techniques</w:t>
      </w:r>
      <w:r>
        <w:t xml:space="preserve"> </w:t>
      </w:r>
      <w:r>
        <w:t xml:space="preserve">(</w:t>
      </w:r>
      <w:r>
        <w:rPr>
          <w:bCs/>
          <w:b/>
        </w:rPr>
        <w:t xml:space="preserve">bagavathiannanPostdispersalLossImportant2013?</w:t>
      </w:r>
      <w:r>
        <w:t xml:space="preserve">;</w:t>
      </w:r>
      <w:r>
        <w:t xml:space="preserve"> </w:t>
      </w:r>
      <w:r>
        <w:rPr>
          <w:bCs/>
          <w:b/>
        </w:rPr>
        <w:t xml:space="preserve">korresSeedbankPersistencePalmer2018?</w:t>
      </w:r>
      <w:r>
        <w:t xml:space="preserve">;</w:t>
      </w:r>
      <w:r>
        <w:t xml:space="preserve"> </w:t>
      </w:r>
      <w:r>
        <w:rPr>
          <w:bCs/>
          <w:b/>
        </w:rPr>
        <w:t xml:space="preserve">menalledEffectsCompostedSwine2005?</w:t>
      </w:r>
      <w:r>
        <w:t xml:space="preserve">)</w:t>
      </w:r>
      <w:r>
        <w:t xml:space="preserve">.</w:t>
      </w:r>
    </w:p>
    <w:p>
      <w:pPr>
        <w:pStyle w:val="BodyText"/>
      </w:pPr>
      <w:r>
        <w:t xml:space="preserve">Prospective analysis using a population matrix approach can be used to examine how a population would change over a period given the input parameters, but without extensive field trials</w:t>
      </w:r>
      <w:r>
        <w:t xml:space="preserve"> </w:t>
      </w:r>
      <w:r>
        <w:t xml:space="preserve">(</w:t>
      </w:r>
      <w:r>
        <w:rPr>
          <w:bCs/>
          <w:b/>
        </w:rPr>
        <w:t xml:space="preserve">caswellMatrixPopulationModels2001?</w:t>
      </w:r>
      <w:r>
        <w:t xml:space="preserve">;</w:t>
      </w:r>
      <w:r>
        <w:t xml:space="preserve"> </w:t>
      </w:r>
      <w:r>
        <w:rPr>
          <w:bCs/>
          <w:b/>
        </w:rPr>
        <w:t xml:space="preserve">davisCroppingSystemEffects2002?</w:t>
      </w:r>
      <w:r>
        <w:t xml:space="preserve">;</w:t>
      </w:r>
      <w:r>
        <w:t xml:space="preserve"> </w:t>
      </w:r>
      <w:r>
        <w:rPr>
          <w:bCs/>
          <w:b/>
        </w:rPr>
        <w:t xml:space="preserve">ullrichWeedPopulationDynamics2000?</w:t>
      </w:r>
      <w:r>
        <w:t xml:space="preserve">)</w:t>
      </w:r>
      <w:r>
        <w:t xml:space="preserve">.</w:t>
      </w:r>
      <w:r>
        <w:t xml:space="preserve"> </w:t>
      </w:r>
      <w:r>
        <w:t xml:space="preserve">In this case, the input parameters for waterhemp population dynamics are seedbank density, emergence rate, seed and plant survival rates, fecundity, and seed viability loss.</w:t>
      </w:r>
      <w:r>
        <w:t xml:space="preserve"> </w:t>
      </w:r>
      <w:r>
        <w:t xml:space="preserve">I will use a periodic matrix model</w:t>
      </w:r>
      <w:r>
        <w:t xml:space="preserve"> </w:t>
      </w:r>
      <w:r>
        <w:t xml:space="preserve">(</w:t>
      </w:r>
      <w:r>
        <w:rPr>
          <w:bCs/>
          <w:b/>
        </w:rPr>
        <w:t xml:space="preserve">caswellMatrixPopulationModels2001?</w:t>
      </w:r>
      <w:r>
        <w:t xml:space="preserve">;</w:t>
      </w:r>
      <w:r>
        <w:t xml:space="preserve"> </w:t>
      </w:r>
      <w:r>
        <w:rPr>
          <w:bCs/>
          <w:b/>
        </w:rPr>
        <w:t xml:space="preserve">cousensDynamicsWeedPopulations1995?</w:t>
      </w:r>
      <w:r>
        <w:t xml:space="preserve">)</w:t>
      </w:r>
      <w:r>
        <w:t xml:space="preserve"> </w:t>
      </w:r>
      <w:r>
        <w:t xml:space="preserve">to study waterhemp population dynamics because periodic matrices accommodate the examination of the effect of various events, i.e., crop management activities, that occur throughout the life cycle of waterhemp on the population change rate.</w:t>
      </w:r>
      <w:r>
        <w:t xml:space="preserve"> </w:t>
      </w:r>
      <w:r>
        <w:t xml:space="preserve">The periodic matrices are sub-divisions of an annual projection matrix: each is constructed based on critical points in a weed species’ life cycle, which will provide a means to track when and where major changes in population dynamics happen.</w:t>
      </w:r>
      <w:r>
        <w:t xml:space="preserve"> </w:t>
      </w:r>
      <w:r>
        <w:t xml:space="preserve">Details on periodic matrices construction and justification are provided in the next section.</w:t>
      </w:r>
    </w:p>
    <w:bookmarkEnd w:id="20"/>
    <w:bookmarkStart w:id="35" w:name="materials-and-methods"/>
    <w:p>
      <w:pPr>
        <w:pStyle w:val="Heading2"/>
      </w:pPr>
      <w:r>
        <w:t xml:space="preserve">Materials and methods</w:t>
      </w:r>
    </w:p>
    <w:bookmarkStart w:id="21" w:name="experiment-design"/>
    <w:p>
      <w:pPr>
        <w:pStyle w:val="Heading3"/>
      </w:pPr>
      <w:r>
        <w:t xml:space="preserve">Experiment design</w:t>
      </w:r>
    </w:p>
    <w:p>
      <w:pPr>
        <w:pStyle w:val="FirstParagraph"/>
      </w:pPr>
      <w:r>
        <w:t xml:space="preserve">The general experiment design is provided in</w:t>
      </w:r>
      <w:r>
        <w:t xml:space="preserve"> </w:t>
      </w:r>
      <w:r>
        <w:rPr>
          <w:bCs/>
          <w:b/>
        </w:rPr>
        <w:t xml:space="preserve">Article 1</w:t>
      </w:r>
      <w:r>
        <w:t xml:space="preserve">, but a summary of crop sequences in the experiment is provided below.</w:t>
      </w:r>
      <w:r>
        <w:br/>
      </w:r>
      <w:r>
        <w:t xml:space="preserve">2-year: Corn (C2) - Soybean (S2)</w:t>
      </w:r>
      <w:r>
        <w:br/>
      </w:r>
      <w:r>
        <w:t xml:space="preserve">3-year: Corn (C3) - Soybean (S3) - Oat/red clover (O3) (</w:t>
      </w:r>
      <w:r>
        <w:t xml:space="preserve">“</w:t>
      </w:r>
      <w:r>
        <w:t xml:space="preserve">/</w:t>
      </w:r>
      <w:r>
        <w:t xml:space="preserve">”</w:t>
      </w:r>
      <w:r>
        <w:t xml:space="preserve"> </w:t>
      </w:r>
      <w:r>
        <w:t xml:space="preserve">means intercropped)</w:t>
      </w:r>
      <w:r>
        <w:br/>
      </w:r>
      <w:r>
        <w:t xml:space="preserve">4-year: Corn (C4) - Soybean (S4) - Oat/alfalfa (O4) - Alfalfa (A4)</w:t>
      </w:r>
      <w:r>
        <w:t xml:space="preserve"> </w:t>
      </w:r>
      <w:r>
        <w:t xml:space="preserve">(Oat and alfalfa are interseeded in year 3 of the 4-year rotation.</w:t>
      </w:r>
      <w:r>
        <w:t xml:space="preserve"> </w:t>
      </w:r>
      <w:r>
        <w:t xml:space="preserve">Alfalfa is allowed to grow for another year after oat harvest.)</w:t>
      </w:r>
    </w:p>
    <w:p>
      <w:pPr>
        <w:pStyle w:val="BodyText"/>
      </w:pPr>
      <w:r>
        <w:t xml:space="preserve">As mentioned in the previous section, contrasting herbicide regimes have been used for corn and soybean at the experiment site from 2008.</w:t>
      </w:r>
      <w:r>
        <w:t xml:space="preserve"> </w:t>
      </w:r>
      <w:r>
        <w:t xml:space="preserve">Soybean plots were managed by conventional herbicide starting in 2017 but the data files are organized to distinguish historical herbicide information for soybean plots because the herbicide change was recent while the legacy effect of weed control program on each subplot may last for a few years</w:t>
      </w:r>
      <w:r>
        <w:t xml:space="preserve"> </w:t>
      </w:r>
      <w:r>
        <w:t xml:space="preserve">(</w:t>
      </w:r>
      <w:r>
        <w:rPr>
          <w:bCs/>
          <w:b/>
        </w:rPr>
        <w:t xml:space="preserve">rasmussenLegacyPesticidePollution2015?</w:t>
      </w:r>
      <w:r>
        <w:t xml:space="preserve">;</w:t>
      </w:r>
      <w:r>
        <w:t xml:space="preserve"> </w:t>
      </w:r>
      <w:r>
        <w:rPr>
          <w:bCs/>
          <w:b/>
        </w:rPr>
        <w:t xml:space="preserve">gibsonBenchmarkStudyGlyphosateresistant2016?</w:t>
      </w:r>
      <w:r>
        <w:t xml:space="preserve">)</w:t>
      </w:r>
      <w:r>
        <w:t xml:space="preserve">.</w:t>
      </w:r>
      <w:r>
        <w:br/>
      </w:r>
      <w:r>
        <w:t xml:space="preserve">Population transition matrices were calculated using Wood’s quadratic programming method</w:t>
      </w:r>
      <w:r>
        <w:t xml:space="preserve"> </w:t>
      </w:r>
      <w:r>
        <w:t xml:space="preserve">(Section 6.2,</w:t>
      </w:r>
      <w:r>
        <w:t xml:space="preserve"> </w:t>
      </w:r>
      <w:r>
        <w:rPr>
          <w:bCs/>
          <w:b/>
        </w:rPr>
        <w:t xml:space="preserve">caswellMatrixPopulationModels2001?</w:t>
      </w:r>
      <w:r>
        <w:t xml:space="preserve">)</w:t>
      </w:r>
      <w:r>
        <w:t xml:space="preserve">.</w:t>
      </w:r>
      <w:r>
        <w:t xml:space="preserve"> </w:t>
      </w:r>
      <w:r>
        <w:t xml:space="preserve">The waterhemp population is considered size-structured with overlapping cohorts.</w:t>
      </w:r>
      <w:r>
        <w:t xml:space="preserve"> </w:t>
      </w:r>
      <w:r>
        <w:t xml:space="preserve">Cohorts in this experiment reflected the time stamps when the waterhemp sub-populations were surveyed.</w:t>
      </w:r>
      <w:r>
        <w:t xml:space="preserve"> </w:t>
      </w:r>
      <w:r>
        <w:t xml:space="preserve">Two consecutive surveys were approximately two-week apart.</w:t>
      </w:r>
    </w:p>
    <w:bookmarkEnd w:id="21"/>
    <w:bookmarkStart w:id="22" w:name="matrix-construction"/>
    <w:p>
      <w:pPr>
        <w:pStyle w:val="Heading3"/>
      </w:pPr>
      <w:r>
        <w:t xml:space="preserve">Matrix construction</w:t>
      </w:r>
    </w:p>
    <w:p>
      <w:pPr>
        <w:pStyle w:val="FirstParagraph"/>
      </w:pPr>
      <w:r>
        <w:t xml:space="preserve">Overall, transition matrices were partitioned into four blocks using the format of matrix 4.8 in Matrix Population Models Construction, Analysis and Interpretation</w:t>
      </w:r>
      <w:r>
        <w:t xml:space="preserve"> </w:t>
      </w:r>
      <w:r>
        <w:t xml:space="preserve">(Chapter 4,</w:t>
      </w:r>
      <w:r>
        <w:t xml:space="preserve"> </w:t>
      </w:r>
      <w:r>
        <w:rPr>
          <w:bCs/>
          <w:b/>
        </w:rPr>
        <w:t xml:space="preserve">caswellMatrixPopulationModels2001?</w:t>
      </w:r>
      <w:r>
        <w:t xml:space="preserve">)</w:t>
      </w:r>
      <w:r>
        <w:t xml:space="preserve">.</w:t>
      </w:r>
      <w:r>
        <w:t xml:space="preserve"> </w:t>
      </w:r>
      <w:r>
        <w:t xml:space="preserve">Each transition matrix,</w:t>
      </w:r>
      <w:r>
        <w:t xml:space="preserve"> </w:t>
      </w:r>
      <m:oMath>
        <m:r>
          <m:t>A</m:t>
        </m:r>
      </m:oMath>
      <w:r>
        <w:t xml:space="preserve"> </w:t>
      </w:r>
      <w:r>
        <w:t xml:space="preserve">is developed for one rotation and is the product of five population matrices,</w:t>
      </w:r>
      <w:r>
        <w:t xml:space="preserve"> </w:t>
      </w:r>
      <m:oMath>
        <m:r>
          <m:t>P</m:t>
        </m:r>
        <m:r>
          <m:rPr>
            <m:sty m:val="p"/>
          </m:rPr>
          <m:t>′</m:t>
        </m:r>
        <m:r>
          <m:t>s</m:t>
        </m:r>
      </m:oMath>
      <w:r>
        <w:t xml:space="preserve">, corresponding to the number of crop phase in each rotation.</w:t>
      </w:r>
      <w:r>
        <w:t xml:space="preserve"> </w:t>
      </w:r>
      <w:r>
        <w:t xml:space="preserve">The general form of</w:t>
      </w:r>
      <w:r>
        <w:t xml:space="preserve"> </w:t>
      </w:r>
      <m:oMath>
        <m:r>
          <m:t>A</m:t>
        </m:r>
      </m:oMath>
      <w:r>
        <w:t xml:space="preserve"> </w:t>
      </w:r>
      <w:r>
        <w:t xml:space="preserve">is presented below.</w:t>
      </w:r>
    </w:p>
    <w:p>
      <w:pPr>
        <w:pStyle w:val="BodyText"/>
      </w:pPr>
      <m:oMathPara>
        <m:oMathParaPr>
          <m:jc m:val="center"/>
        </m:oMathParaPr>
        <m:oMath>
          <m:r>
            <m:t>A</m:t>
          </m:r>
          <m:r>
            <m:rPr>
              <m:sty m:val="p"/>
            </m:rPr>
            <m:t>=</m:t>
          </m:r>
          <m:d>
            <m:dPr>
              <m:begChr m:val="["/>
              <m:endChr m:val="]"/>
              <m:sepChr m:val=""/>
              <m:grow/>
            </m:dPr>
            <m:e>
              <m:m>
                <m:mPr>
                  <m:baseJc m:val="center"/>
                  <m:plcHide m:val="1"/>
                  <m:mcs>
                    <m:mc>
                      <m:mcPr>
                        <m:mcJc m:val="center"/>
                        <m:count m:val="1"/>
                      </m:mcPr>
                    </m:mc>
                    <m:mc>
                      <m:mcPr>
                        <m:mcJc m:val="center"/>
                        <m:count m:val="1"/>
                      </m:mcPr>
                    </m:mc>
                  </m:mcs>
                </m:mPr>
                <m:mr>
                  <m:e>
                    <m:sSub>
                      <m:e>
                        <m:r>
                          <m:t>A</m:t>
                        </m:r>
                      </m:e>
                      <m:sub>
                        <m:r>
                          <m:t>s</m:t>
                        </m:r>
                        <m:r>
                          <m:t>b</m:t>
                        </m:r>
                      </m:sub>
                    </m:sSub>
                  </m:e>
                  <m:e>
                    <m:sSub>
                      <m:e>
                        <m:r>
                          <m:t>M</m:t>
                        </m:r>
                      </m:e>
                      <m:sub>
                        <m:r>
                          <m:t>b</m:t>
                        </m:r>
                        <m:r>
                          <m:t>m</m:t>
                        </m:r>
                        <m:r>
                          <m:t> </m:t>
                        </m:r>
                        <m:r>
                          <m:t> </m:t>
                        </m:r>
                        <m:r>
                          <m:t>t</m:t>
                        </m:r>
                        <m:r>
                          <m:t>o</m:t>
                        </m:r>
                        <m:r>
                          <m:t> </m:t>
                        </m:r>
                        <m:r>
                          <m:t> </m:t>
                        </m:r>
                        <m:r>
                          <m:t>s</m:t>
                        </m:r>
                        <m:r>
                          <m:t>b</m:t>
                        </m:r>
                      </m:sub>
                    </m:sSub>
                  </m:e>
                </m:mr>
                <m:mr>
                  <m:e>
                    <m:sSub>
                      <m:e>
                        <m:r>
                          <m:t>M</m:t>
                        </m:r>
                      </m:e>
                      <m:sub>
                        <m:r>
                          <m:t>s</m:t>
                        </m:r>
                        <m:r>
                          <m:t>b</m:t>
                        </m:r>
                        <m:r>
                          <m:t> </m:t>
                        </m:r>
                        <m:r>
                          <m:t> </m:t>
                        </m:r>
                        <m:r>
                          <m:t>t</m:t>
                        </m:r>
                        <m:r>
                          <m:t>o</m:t>
                        </m:r>
                        <m:r>
                          <m:t> </m:t>
                        </m:r>
                        <m:r>
                          <m:t> </m:t>
                        </m:r>
                        <m:r>
                          <m:t>b</m:t>
                        </m:r>
                        <m:r>
                          <m:t>m</m:t>
                        </m:r>
                      </m:sub>
                    </m:sSub>
                  </m:e>
                  <m:e>
                    <m:sSub>
                      <m:e>
                        <m:r>
                          <m:t>A</m:t>
                        </m:r>
                      </m:e>
                      <m:sub>
                        <m:r>
                          <m:t>b</m:t>
                        </m:r>
                        <m:r>
                          <m:t>m</m:t>
                        </m:r>
                      </m:sub>
                    </m:sSub>
                  </m:e>
                </m:mr>
              </m:m>
            </m:e>
          </m:d>
        </m:oMath>
      </m:oMathPara>
    </w:p>
    <w:p>
      <w:pPr>
        <w:pStyle w:val="FirstParagraph"/>
      </w:pPr>
      <w:r>
        <w:t xml:space="preserve">where</w:t>
      </w:r>
      <w:r>
        <w:br/>
      </w:r>
      <m:oMath>
        <m:sSub>
          <m:e>
            <m:r>
              <m:t>A</m:t>
            </m:r>
          </m:e>
          <m:sub>
            <m:r>
              <m:t>b</m:t>
            </m:r>
            <m:r>
              <m:t>m</m:t>
            </m:r>
          </m:sub>
        </m:sSub>
      </m:oMath>
      <w:r>
        <w:t xml:space="preserve"> </w:t>
      </w:r>
      <w:r>
        <w:t xml:space="preserve">is the transition within the aboveground population,</w:t>
      </w:r>
      <w:r>
        <w:br/>
      </w:r>
      <m:oMath>
        <m:sSub>
          <m:e>
            <m:r>
              <m:t>A</m:t>
            </m:r>
          </m:e>
          <m:sub>
            <m:r>
              <m:t>s</m:t>
            </m:r>
            <m:r>
              <m:t>b</m:t>
            </m:r>
          </m:sub>
        </m:sSub>
      </m:oMath>
      <w:r>
        <w:t xml:space="preserve"> </w:t>
      </w:r>
      <w:r>
        <w:t xml:space="preserve">is the transition within the seedbank population,</w:t>
      </w:r>
      <w:r>
        <w:br/>
      </w:r>
      <m:oMath>
        <m:sSub>
          <m:e>
            <m:r>
              <m:t>M</m:t>
            </m:r>
          </m:e>
          <m:sub>
            <m:r>
              <m:t>s</m:t>
            </m:r>
            <m:r>
              <m:t>b</m:t>
            </m:r>
            <m:r>
              <m:t> </m:t>
            </m:r>
            <m:r>
              <m:t> </m:t>
            </m:r>
            <m:r>
              <m:t>t</m:t>
            </m:r>
            <m:r>
              <m:t>o</m:t>
            </m:r>
            <m:r>
              <m:t> </m:t>
            </m:r>
            <m:r>
              <m:t> </m:t>
            </m:r>
            <m:r>
              <m:t>b</m:t>
            </m:r>
            <m:r>
              <m:t>m</m:t>
            </m:r>
          </m:sub>
        </m:sSub>
      </m:oMath>
      <w:r>
        <w:t xml:space="preserve"> </w:t>
      </w:r>
      <w:r>
        <w:t xml:space="preserve">is the transition from the seedbank to the aboveground population (germination), and</w:t>
      </w:r>
      <w:r>
        <w:br/>
      </w:r>
      <m:oMath>
        <m:sSub>
          <m:e>
            <m:r>
              <m:t>M</m:t>
            </m:r>
          </m:e>
          <m:sub>
            <m:r>
              <m:t>b</m:t>
            </m:r>
            <m:r>
              <m:t>m</m:t>
            </m:r>
            <m:r>
              <m:t> </m:t>
            </m:r>
            <m:r>
              <m:t> </m:t>
            </m:r>
            <m:r>
              <m:t>t</m:t>
            </m:r>
            <m:r>
              <m:t>o</m:t>
            </m:r>
            <m:r>
              <m:t> </m:t>
            </m:r>
            <m:r>
              <m:t> </m:t>
            </m:r>
            <m:r>
              <m:t>s</m:t>
            </m:r>
            <m:r>
              <m:t>b</m:t>
            </m:r>
          </m:sub>
        </m:sSub>
      </m:oMath>
      <w:r>
        <w:t xml:space="preserve"> </w:t>
      </w:r>
      <w:r>
        <w:t xml:space="preserve">is the transition from the aboveground to the seedbank population (distribution of newly produced seeds to the soil seedbank)</w:t>
      </w:r>
    </w:p>
    <w:p>
      <w:pPr>
        <w:pStyle w:val="BodyText"/>
      </w:pPr>
      <w:r>
        <w:t xml:space="preserve">As of now, the available field-measured demographic rates, i.e., soil seedbank densities, plant densities, plant fecundity, and biomass, are treatment-average.</w:t>
      </w:r>
      <w:r>
        <w:t xml:space="preserve"> </w:t>
      </w:r>
      <w:r>
        <w:t xml:space="preserve">Plant biomass was used as an intermediate parameter to estimate plant fecundity (Article 2).</w:t>
      </w:r>
    </w:p>
    <w:p>
      <w:pPr>
        <w:pStyle w:val="BodyText"/>
      </w:pPr>
      <w:r>
        <w:t xml:space="preserve">Transition matrices in this exercise are fixed at 8x8 in dimensions, with two strata of seeds in the soil and six cohorts of germination.</w:t>
      </w:r>
      <w:r>
        <w:t xml:space="preserve"> </w:t>
      </w:r>
      <w:r>
        <w:t xml:space="preserve">The number of germination cohorts, which were the number of germination surveys conducted in 2019, are used as placeholders only.</w:t>
      </w:r>
      <w:r>
        <w:t xml:space="preserve"> </w:t>
      </w:r>
      <w:r>
        <w:t xml:space="preserve">The model, in its improved format, is expected to accommodate flexibility in the number of cohorts, dried biomass at maturity and fecundity that are under varying</w:t>
      </w:r>
      <w:r>
        <w:t xml:space="preserve"> </w:t>
      </w:r>
      <w:r>
        <w:rPr>
          <w:iCs/>
          <w:i/>
        </w:rPr>
        <w:t xml:space="preserve">field conditions,</w:t>
      </w:r>
      <w:r>
        <w:t xml:space="preserve"> </w:t>
      </w:r>
      <w:r>
        <w:t xml:space="preserve">such as temperature,</w:t>
      </w:r>
      <w:r>
        <w:t xml:space="preserve"> </w:t>
      </w:r>
      <w:r>
        <w:t xml:space="preserve">moisture, and granivore activities.</w:t>
      </w:r>
      <w:r>
        <w:t xml:space="preserve"> </w:t>
      </w:r>
      <w:r>
        <w:rPr>
          <w:iCs/>
          <w:i/>
        </w:rPr>
        <w:t xml:space="preserve">These issues will be addressed in Article 5.</w:t>
      </w:r>
    </w:p>
    <w:p>
      <w:pPr>
        <w:pStyle w:val="BodyText"/>
      </w:pPr>
      <w:r>
        <w:t xml:space="preserve">Waterhemp population projection from time</w:t>
      </w:r>
      <w:r>
        <w:t xml:space="preserve"> </w:t>
      </w:r>
      <m:oMath>
        <m:r>
          <m:t>δ</m:t>
        </m:r>
      </m:oMath>
      <w:r>
        <w:t xml:space="preserve"> </w:t>
      </w:r>
      <w:r>
        <w:t xml:space="preserve">to</w:t>
      </w:r>
      <w:r>
        <w:t xml:space="preserve"> </w:t>
      </w:r>
      <m:oMath>
        <m:r>
          <m:t>δ</m:t>
        </m:r>
        <m:r>
          <m:rPr>
            <m:sty m:val="p"/>
          </m:rPr>
          <m:t>+</m:t>
        </m:r>
        <m:r>
          <m:t>1</m:t>
        </m:r>
      </m:oMath>
      <w:r>
        <w:t xml:space="preserve"> </w:t>
      </w:r>
      <w:r>
        <w:t xml:space="preserve">is size-based and calculated as follow</w:t>
      </w:r>
      <w:r>
        <w:t xml:space="preserve"> </w:t>
      </w:r>
      <w:r>
        <w:t xml:space="preserve">(Chapters 2, 3 and 4,</w:t>
      </w:r>
      <w:r>
        <w:t xml:space="preserve"> </w:t>
      </w:r>
      <w:r>
        <w:rPr>
          <w:bCs/>
          <w:b/>
        </w:rPr>
        <w:t xml:space="preserve">caswellMatrixPopulationModels2001?</w:t>
      </w:r>
      <w:r>
        <w:t xml:space="preserve">)</w:t>
      </w:r>
      <w:r>
        <w:t xml:space="preserve">.</w:t>
      </w:r>
      <w:r>
        <w:br/>
      </w:r>
    </w:p>
    <w:p>
      <w:pPr>
        <w:pStyle w:val="BodyText"/>
      </w:pPr>
      <m:oMathPara>
        <m:oMathParaPr>
          <m:jc m:val="center"/>
        </m:oMathParaPr>
        <m:oMath>
          <m:sSub>
            <m:e>
              <m:r>
                <m:t>N</m:t>
              </m:r>
            </m:e>
            <m:sub>
              <m:r>
                <m:t>δ</m:t>
              </m:r>
              <m:r>
                <m:rPr>
                  <m:sty m:val="p"/>
                </m:rPr>
                <m:t>+</m:t>
              </m:r>
              <m:r>
                <m:t>1</m:t>
              </m:r>
            </m:sub>
          </m:sSub>
          <m:r>
            <m:rPr>
              <m:sty m:val="p"/>
            </m:rPr>
            <m:t>=</m:t>
          </m:r>
          <m:r>
            <m:rPr>
              <m:sty m:val="p"/>
              <m:scr m:val="script"/>
            </m:rPr>
            <m:t>A</m:t>
          </m:r>
          <m:r>
            <m:rPr>
              <m:sty m:val="p"/>
            </m:rPr>
            <m:t>*</m:t>
          </m:r>
          <m:sSub>
            <m:e>
              <m:r>
                <m:t>N</m:t>
              </m:r>
            </m:e>
            <m:sub>
              <m:r>
                <m:t>δ</m:t>
              </m:r>
            </m:sub>
          </m:sSub>
        </m:oMath>
      </m:oMathPara>
    </w:p>
    <w:p>
      <w:pPr>
        <w:pStyle w:val="FirstParagraph"/>
      </w:pPr>
      <w:r>
        <w:br/>
      </w:r>
      <w:r>
        <w:t xml:space="preserve">where,</w:t>
      </w:r>
      <w:r>
        <w:br/>
      </w:r>
      <m:oMath>
        <m:r>
          <m:rPr>
            <m:sty m:val="p"/>
            <m:scr m:val="script"/>
          </m:rPr>
          <m:t>A</m:t>
        </m:r>
      </m:oMath>
      <w:r>
        <w:t xml:space="preserve"> </w:t>
      </w:r>
      <w:r>
        <w:t xml:space="preserve">is the square transition matrix from time</w:t>
      </w:r>
      <w:r>
        <w:t xml:space="preserve"> </w:t>
      </w:r>
      <m:oMath>
        <m:r>
          <m:t>δ</m:t>
        </m:r>
      </m:oMath>
      <w:r>
        <w:t xml:space="preserve"> </w:t>
      </w:r>
      <w:r>
        <w:t xml:space="preserve">to time</w:t>
      </w:r>
      <w:r>
        <w:t xml:space="preserve"> </w:t>
      </w:r>
      <m:oMath>
        <m:r>
          <m:t>δ</m:t>
        </m:r>
        <m:r>
          <m:rPr>
            <m:sty m:val="p"/>
          </m:rPr>
          <m:t>+</m:t>
        </m:r>
        <m:r>
          <m:t>1</m:t>
        </m:r>
      </m:oMath>
      <w:r>
        <w:t xml:space="preserve">.</w:t>
      </w:r>
      <w:r>
        <w:t xml:space="preserve"> </w:t>
      </w:r>
      <w:r>
        <w:t xml:space="preserve">Time interval can be year (as in the rotation-wise matrices) or month (as in phase-wise matrices).</w:t>
      </w:r>
      <w:r>
        <w:br/>
      </w:r>
      <m:oMath>
        <m:r>
          <m:t>N</m:t>
        </m:r>
      </m:oMath>
      <w:r>
        <w:t xml:space="preserve"> </w:t>
      </w:r>
      <w:r>
        <w:t xml:space="preserve">is the population vector (in column matrix form) whose dimension equals the number of groups of seeds (2 strata) plus the number of plant cohorts (6).</w:t>
      </w:r>
      <w:r>
        <w:t xml:space="preserve"> </w:t>
      </w:r>
      <w:r>
        <w:t xml:space="preserve">Waterhemp population transition in one crop phase, from spring (crop/weed germination) to fall (crop harvest/weed seed shed) is presented below</w:t>
      </w:r>
    </w:p>
    <w:p>
      <w:pPr>
        <w:pStyle w:val="BodyText"/>
      </w:pPr>
      <m:oMathPara>
        <m:oMathParaPr>
          <m:jc m:val="center"/>
        </m:oMathParaPr>
        <m:oMath>
          <m:sSub>
            <m:e>
              <m:r>
                <m:t>N</m:t>
              </m:r>
            </m:e>
            <m:sub>
              <m:sSub>
                <m:e>
                  <m:r>
                    <m:t>r</m:t>
                  </m:r>
                </m:e>
                <m:sub>
                  <m:r>
                    <m:t>c</m:t>
                  </m:r>
                  <m:r>
                    <m:rPr>
                      <m:sty m:val="p"/>
                    </m:rPr>
                    <m:t>,</m:t>
                  </m:r>
                  <m:r>
                    <m:t>δ</m:t>
                  </m:r>
                  <m:r>
                    <m:rPr>
                      <m:sty m:val="p"/>
                    </m:rPr>
                    <m:t>+</m:t>
                  </m:r>
                  <m:r>
                    <m:t>1</m:t>
                  </m:r>
                </m:sub>
              </m:sSub>
            </m:sub>
          </m:sSub>
          <m:r>
            <m:rPr>
              <m:sty m:val="p"/>
            </m:rPr>
            <m:t>=</m:t>
          </m:r>
          <m:sSub>
            <m:e>
              <m:r>
                <m:t>N</m:t>
              </m:r>
            </m:e>
            <m:sub>
              <m:sSub>
                <m:e>
                  <m:r>
                    <m:t>r</m:t>
                  </m:r>
                </m:e>
                <m:sub>
                  <m:r>
                    <m:t>c</m:t>
                  </m:r>
                  <m:r>
                    <m:rPr>
                      <m:sty m:val="p"/>
                    </m:rPr>
                    <m:t>,</m:t>
                  </m:r>
                  <m:r>
                    <m:t>δ</m:t>
                  </m:r>
                </m:sub>
              </m:sSub>
            </m:sub>
          </m:sSub>
          <m:r>
            <m:rPr>
              <m:sty m:val="p"/>
            </m:rPr>
            <m:t>*</m:t>
          </m:r>
          <m:nary>
            <m:naryPr>
              <m:chr m:val="∏"/>
              <m:limLoc m:val="undOvr"/>
              <m:subHide m:val="0"/>
              <m:supHide m:val="0"/>
            </m:naryPr>
            <m:sub>
              <m:r>
                <m:t>δ</m:t>
              </m:r>
              <m:r>
                <m:rPr>
                  <m:sty m:val="p"/>
                </m:rPr>
                <m:t>=</m:t>
              </m:r>
              <m:r>
                <m:t>1</m:t>
              </m:r>
            </m:sub>
            <m:sup>
              <m:r>
                <m:t>Δ</m:t>
              </m:r>
            </m:sup>
            <m:e>
              <m:sSub>
                <m:e>
                  <m:r>
                    <m:t>A</m:t>
                  </m:r>
                </m:e>
                <m:sub>
                  <m:r>
                    <m:t>δ</m:t>
                  </m:r>
                </m:sub>
              </m:sSub>
            </m:e>
          </m:nary>
          <m:r>
            <m:t> </m:t>
          </m:r>
          <m:r>
            <m:t> </m:t>
          </m:r>
          <m:r>
            <m:t> </m:t>
          </m:r>
          <m:r>
            <m:t> </m:t>
          </m:r>
          <m:r>
            <m:t> </m:t>
          </m:r>
          <m:d>
            <m:dPr>
              <m:begChr m:val="["/>
              <m:endChr m:val="]"/>
              <m:sepChr m:val=""/>
              <m:grow/>
            </m:dPr>
            <m:e>
              <m:r>
                <m:t>1</m:t>
              </m:r>
            </m:e>
          </m:d>
        </m:oMath>
      </m:oMathPara>
    </w:p>
    <w:p>
      <w:pPr>
        <w:pStyle w:val="FirstParagraph"/>
      </w:pPr>
      <w:r>
        <w:br/>
      </w:r>
      <w:r>
        <w:t xml:space="preserve">where,</w:t>
      </w:r>
      <w:r>
        <w:br/>
      </w:r>
      <m:oMath>
        <m:sSub>
          <m:e>
            <m:r>
              <m:t>r</m:t>
            </m:r>
          </m:e>
          <m:sub>
            <m:r>
              <m:t>c</m:t>
            </m:r>
          </m:sub>
        </m:sSub>
      </m:oMath>
      <w:r>
        <w:t xml:space="preserve"> </w:t>
      </w:r>
      <w:r>
        <w:t xml:space="preserve">is the index for the</w:t>
      </w:r>
      <w:r>
        <w:t xml:space="preserve"> </w:t>
      </w:r>
      <m:oMath>
        <m:sSup>
          <m:e>
            <m:r>
              <m:t>c</m:t>
            </m:r>
          </m:e>
          <m:sup>
            <m:r>
              <m:t>t</m:t>
            </m:r>
            <m:r>
              <m:t>h</m:t>
            </m:r>
          </m:sup>
        </m:sSup>
      </m:oMath>
      <w:r>
        <w:t xml:space="preserve"> </w:t>
      </w:r>
      <w:r>
        <w:t xml:space="preserve">crop phase in a particular rotation,</w:t>
      </w:r>
      <w:r>
        <w:br/>
      </w:r>
      <m:oMath>
        <m:sSub>
          <m:e>
            <m:r>
              <m:t>N</m:t>
            </m:r>
          </m:e>
          <m:sub>
            <m:sSub>
              <m:e>
                <m:r>
                  <m:t>r</m:t>
                </m:r>
              </m:e>
              <m:sub>
                <m:r>
                  <m:t>c</m:t>
                </m:r>
              </m:sub>
            </m:sSub>
          </m:sub>
        </m:sSub>
      </m:oMath>
      <w:r>
        <w:t xml:space="preserve"> </w:t>
      </w:r>
      <w:r>
        <w:t xml:space="preserve">is the Leslie’s population matrix in crop phase</w:t>
      </w:r>
      <w:r>
        <w:t xml:space="preserve"> </w:t>
      </w:r>
      <m:oMath>
        <m:sSup>
          <m:e>
            <m:r>
              <m:t>c</m:t>
            </m:r>
          </m:e>
          <m:sup>
            <m:r>
              <m:t>t</m:t>
            </m:r>
            <m:r>
              <m:t>h</m:t>
            </m:r>
          </m:sup>
        </m:sSup>
      </m:oMath>
      <w:r>
        <w:t xml:space="preserve"> </w:t>
      </w:r>
      <w:r>
        <w:t xml:space="preserve">(</w:t>
      </w:r>
      <w:r>
        <w:rPr>
          <w:bCs/>
          <w:b/>
        </w:rPr>
        <w:t xml:space="preserve">leslieUseMatricesCertain1945?</w:t>
      </w:r>
      <w:r>
        <w:t xml:space="preserve">)</w:t>
      </w:r>
      <w:r>
        <w:br/>
      </w:r>
      <m:oMath>
        <m:r>
          <m:t>A</m:t>
        </m:r>
      </m:oMath>
      <w:r>
        <w:t xml:space="preserve"> </w:t>
      </w:r>
      <w:r>
        <w:t xml:space="preserve">is the population transition matrix during summer</w:t>
      </w:r>
    </w:p>
    <w:p>
      <w:pPr>
        <w:pStyle w:val="BodyText"/>
      </w:pPr>
      <w:r>
        <w:t xml:space="preserve">The main factors that contribute to the success of the control practices are tillage regime, chemical herbicide, cultivation practice and crops’ competitiveness.</w:t>
      </w:r>
      <w:r>
        <w:t xml:space="preserve"> </w:t>
      </w:r>
      <w:r>
        <w:t xml:space="preserve">Among those four factors, crop competitiveness will not be factorized because this factor is dependent on other factors.</w:t>
      </w:r>
      <w:r>
        <w:br/>
      </w:r>
      <w:r>
        <w:t xml:space="preserve">I will use matrices</w:t>
      </w:r>
      <w:r>
        <w:t xml:space="preserve"> </w:t>
      </w:r>
      <m:oMath>
        <m:r>
          <m:t>A</m:t>
        </m:r>
        <m:r>
          <m:rPr>
            <m:sty m:val="p"/>
          </m:rPr>
          <m:t>′</m:t>
        </m:r>
        <m:r>
          <m:t>s</m:t>
        </m:r>
      </m:oMath>
      <w:r>
        <w:t xml:space="preserve"> </w:t>
      </w:r>
      <w:r>
        <w:t xml:space="preserve">dominant eigen values</w:t>
      </w:r>
      <w:r>
        <w:t xml:space="preserve"> </w:t>
      </w:r>
      <m:oMath>
        <m:r>
          <m:t>λ</m:t>
        </m:r>
      </m:oMath>
      <w:r>
        <w:t xml:space="preserve">s when studying waterhemp population transition from crop</w:t>
      </w:r>
      <w:r>
        <w:t xml:space="preserve"> </w:t>
      </w:r>
      <m:oMath>
        <m:sSup>
          <m:e>
            <m:r>
              <m:t>c</m:t>
            </m:r>
          </m:e>
          <m:sup>
            <m:r>
              <m:t>t</m:t>
            </m:r>
            <m:r>
              <m:t>h</m:t>
            </m:r>
          </m:sup>
        </m:sSup>
      </m:oMath>
      <w:r>
        <w:t xml:space="preserve"> </w:t>
      </w:r>
      <w:r>
        <w:t xml:space="preserve">to</w:t>
      </w:r>
      <w:r>
        <w:t xml:space="preserve"> </w:t>
      </w:r>
      <m:oMath>
        <m:sSup>
          <m:e>
            <m:d>
              <m:dPr>
                <m:begChr m:val="("/>
                <m:endChr m:val=")"/>
                <m:sepChr m:val=""/>
                <m:grow/>
              </m:dPr>
              <m:e>
                <m:r>
                  <m:t>c</m:t>
                </m:r>
                <m:r>
                  <m:rPr>
                    <m:sty m:val="p"/>
                  </m:rPr>
                  <m:t>+</m:t>
                </m:r>
                <m:r>
                  <m:t>1</m:t>
                </m:r>
              </m:e>
            </m:d>
          </m:e>
          <m:sup>
            <m:r>
              <m:t>t</m:t>
            </m:r>
            <m:r>
              <m:t>h</m:t>
            </m:r>
          </m:sup>
        </m:sSup>
      </m:oMath>
      <w:r>
        <w:t xml:space="preserve">.</w:t>
      </w:r>
      <w:r>
        <w:br/>
      </w:r>
      <w:r>
        <w:t xml:space="preserve">The following parameters were collected and plugged into a general population model to examine when and where large changes in population dynamics might occur.</w:t>
      </w:r>
      <w:r>
        <w:t xml:space="preserve"> </w:t>
      </w:r>
      <w:r>
        <w:t xml:space="preserve">The list of parameters and the corresponding formula is presented in Table 4.1 below.</w:t>
      </w:r>
    </w:p>
    <w:p>
      <w:pPr>
        <w:pStyle w:val="BodyText"/>
      </w:pPr>
      <w:r>
        <w:t xml:space="preserve">Table 4.1 - Model parameters</w:t>
      </w:r>
    </w:p>
    <w:tbl>
      <w:tblPr>
        <w:tblStyle w:val="Table"/>
        <w:tblW w:type="pct" w:w="5000"/>
        <w:tblLook w:firstRow="1" w:lastRow="0" w:firstColumn="0" w:lastColumn="0" w:noHBand="0" w:noVBand="0" w:val="0020"/>
      </w:tblPr>
      <w:tblGrid>
        <w:gridCol w:w="742"/>
        <w:gridCol w:w="2062"/>
        <w:gridCol w:w="1567"/>
        <w:gridCol w:w="2392"/>
        <w:gridCol w:w="1155"/>
      </w:tblGrid>
      <w:tr>
        <w:trPr>
          <w:tblHeader w:val="true"/>
        </w:trPr>
        <w:tc>
          <w:tcPr/>
          <w:p>
            <w:pPr>
              <w:pStyle w:val="Compact"/>
              <w:jc w:val="left"/>
            </w:pPr>
            <w:r>
              <w:t xml:space="preserve">Parameter</w:t>
            </w:r>
          </w:p>
        </w:tc>
        <w:tc>
          <w:tcPr/>
          <w:p>
            <w:pPr>
              <w:pStyle w:val="Compact"/>
              <w:jc w:val="left"/>
            </w:pPr>
            <w:r>
              <w:t xml:space="preserve">Formula</w:t>
            </w:r>
          </w:p>
        </w:tc>
        <w:tc>
          <w:tcPr/>
          <w:p>
            <w:pPr>
              <w:pStyle w:val="Compact"/>
              <w:jc w:val="left"/>
            </w:pPr>
            <w:r>
              <w:t xml:space="preserve">Notation</w:t>
            </w:r>
          </w:p>
        </w:tc>
        <w:tc>
          <w:tcPr/>
          <w:p>
            <w:pPr>
              <w:pStyle w:val="Compact"/>
              <w:jc w:val="left"/>
            </w:pPr>
            <w:r>
              <w:t xml:space="preserve">Definition</w:t>
            </w:r>
          </w:p>
        </w:tc>
        <w:tc>
          <w:tcPr/>
          <w:p>
            <w:pPr>
              <w:pStyle w:val="Compact"/>
              <w:jc w:val="left"/>
            </w:pPr>
            <w:r>
              <w:t xml:space="preserve">Reference</w:t>
            </w:r>
          </w:p>
        </w:tc>
      </w:tr>
      <w:tr>
        <w:tc>
          <w:tcPr/>
          <w:p>
            <w:pPr>
              <w:pStyle w:val="Compact"/>
              <w:jc w:val="left"/>
            </w:pPr>
            <w:r>
              <w:t xml:space="preserve">Common indexes</w:t>
            </w:r>
          </w:p>
        </w:tc>
        <w:tc>
          <w:tcPr/>
          <w:p>
            <w:pPr>
              <w:pStyle w:val="Compact"/>
            </w:pPr>
          </w:p>
        </w:tc>
        <w:tc>
          <w:tcPr/>
          <w:p>
            <w:pPr>
              <w:pStyle w:val="Compact"/>
              <w:jc w:val="left"/>
            </w:pPr>
            <m:oMath>
              <m:r>
                <m:t>i</m:t>
              </m:r>
              <m:r>
                <m:rPr>
                  <m:sty m:val="p"/>
                </m:rPr>
                <m:t>=</m:t>
              </m:r>
              <m:r>
                <m:rPr>
                  <m:sty m:val="p"/>
                </m:rPr>
                <m:t>{</m:t>
              </m:r>
              <m:r>
                <m:t>1</m:t>
              </m:r>
              <m:r>
                <m:rPr>
                  <m:sty m:val="p"/>
                </m:rPr>
                <m:t>,</m:t>
              </m:r>
              <m:r>
                <m:t>2</m:t>
              </m:r>
              <m:r>
                <m:rPr>
                  <m:sty m:val="p"/>
                </m:rPr>
                <m:t>,</m:t>
              </m:r>
              <m:r>
                <m:rPr>
                  <m:sty m:val="p"/>
                </m:rPr>
                <m:t>.</m:t>
              </m:r>
              <m:r>
                <m:rPr>
                  <m:sty m:val="p"/>
                </m:rPr>
                <m:t>.</m:t>
              </m:r>
              <m:r>
                <m:t>.6</m:t>
              </m:r>
              <m:r>
                <m:rPr>
                  <m:sty m:val="p"/>
                </m:rPr>
                <m:t>}</m:t>
              </m:r>
            </m:oMath>
          </w:p>
        </w:tc>
        <w:tc>
          <w:tcPr/>
          <w:p>
            <w:pPr>
              <w:pStyle w:val="Compact"/>
              <w:jc w:val="left"/>
            </w:pPr>
            <w:r>
              <w:t xml:space="preserve">Cohort number, 1 to 6</w:t>
            </w:r>
          </w:p>
        </w:tc>
        <w:tc>
          <w:tcPr/>
          <w:p>
            <w:pPr>
              <w:pStyle w:val="Compact"/>
            </w:pPr>
          </w:p>
        </w:tc>
      </w:tr>
      <w:tr>
        <w:tc>
          <w:tcPr/>
          <w:p>
            <w:pPr>
              <w:pStyle w:val="Compact"/>
            </w:pPr>
          </w:p>
        </w:tc>
        <w:tc>
          <w:tcPr/>
          <w:p>
            <w:pPr>
              <w:pStyle w:val="Compact"/>
            </w:pPr>
          </w:p>
        </w:tc>
        <w:tc>
          <w:tcPr/>
          <w:p>
            <w:pPr>
              <w:pStyle w:val="Compact"/>
              <w:jc w:val="left"/>
            </w:pPr>
            <m:oMath>
              <m:r>
                <m:t>d</m:t>
              </m:r>
              <m:r>
                <m:rPr>
                  <m:sty m:val="p"/>
                </m:rPr>
                <m:t>=</m:t>
              </m:r>
              <m:r>
                <m:rPr>
                  <m:sty m:val="p"/>
                </m:rPr>
                <m:t>{</m:t>
              </m:r>
              <m:r>
                <m:t>1</m:t>
              </m:r>
              <m:r>
                <m:rPr>
                  <m:sty m:val="p"/>
                </m:rPr>
                <m:t>,</m:t>
              </m:r>
              <m:r>
                <m:t>2</m:t>
              </m:r>
              <m:r>
                <m:rPr>
                  <m:sty m:val="p"/>
                </m:rPr>
                <m:t>}</m:t>
              </m:r>
            </m:oMath>
          </w:p>
        </w:tc>
        <w:tc>
          <w:tcPr/>
          <w:p>
            <w:pPr>
              <w:pStyle w:val="Compact"/>
              <w:jc w:val="left"/>
            </w:pPr>
            <w:r>
              <w:t xml:space="preserve">Top (1) and bottom (2) soil strata</w:t>
            </w:r>
          </w:p>
        </w:tc>
        <w:tc>
          <w:tcPr/>
          <w:p>
            <w:pPr>
              <w:pStyle w:val="Compact"/>
            </w:pPr>
          </w:p>
        </w:tc>
      </w:tr>
      <w:tr>
        <w:tc>
          <w:tcPr/>
          <w:p>
            <w:pPr>
              <w:pStyle w:val="Compact"/>
            </w:pPr>
          </w:p>
        </w:tc>
        <w:tc>
          <w:tcPr/>
          <w:p>
            <w:pPr>
              <w:pStyle w:val="Compact"/>
            </w:pPr>
          </w:p>
        </w:tc>
        <w:tc>
          <w:tcPr/>
          <w:p>
            <w:pPr>
              <w:pStyle w:val="Compact"/>
              <w:jc w:val="left"/>
            </w:pPr>
            <m:oMath>
              <m:r>
                <m:t>δ</m:t>
              </m:r>
            </m:oMath>
          </w:p>
        </w:tc>
        <w:tc>
          <w:tcPr/>
          <w:p>
            <w:pPr>
              <w:pStyle w:val="Compact"/>
              <w:jc w:val="left"/>
            </w:pPr>
            <w:r>
              <w:t xml:space="preserve">The time between two consecutive measurements</w:t>
            </w:r>
          </w:p>
        </w:tc>
        <w:tc>
          <w:tcPr/>
          <w:p>
            <w:pPr>
              <w:pStyle w:val="Compact"/>
            </w:pPr>
          </w:p>
        </w:tc>
      </w:tr>
      <w:tr>
        <w:tc>
          <w:tcPr/>
          <w:p>
            <w:pPr>
              <w:pStyle w:val="Compact"/>
            </w:pPr>
          </w:p>
        </w:tc>
        <w:tc>
          <w:tcPr/>
          <w:p>
            <w:pPr>
              <w:pStyle w:val="Compact"/>
            </w:pPr>
          </w:p>
        </w:tc>
        <w:tc>
          <w:tcPr/>
          <w:p>
            <w:pPr>
              <w:pStyle w:val="Compact"/>
              <w:jc w:val="left"/>
            </w:pPr>
            <m:oMath>
              <m:r>
                <m:t>c</m:t>
              </m:r>
            </m:oMath>
          </w:p>
        </w:tc>
        <w:tc>
          <w:tcPr/>
          <w:p>
            <w:pPr>
              <w:pStyle w:val="Compact"/>
              <w:jc w:val="left"/>
            </w:pPr>
            <w:r>
              <w:t xml:space="preserve">Crop: corn, soybean, oat, alfalfa</w:t>
            </w:r>
          </w:p>
        </w:tc>
        <w:tc>
          <w:tcPr/>
          <w:p>
            <w:pPr>
              <w:pStyle w:val="Compact"/>
            </w:pPr>
          </w:p>
        </w:tc>
      </w:tr>
      <w:tr>
        <w:tc>
          <w:tcPr/>
          <w:p>
            <w:pPr>
              <w:pStyle w:val="Compact"/>
            </w:pPr>
          </w:p>
        </w:tc>
        <w:tc>
          <w:tcPr/>
          <w:p>
            <w:pPr>
              <w:pStyle w:val="Compact"/>
            </w:pPr>
          </w:p>
        </w:tc>
        <w:tc>
          <w:tcPr/>
          <w:p>
            <w:pPr>
              <w:pStyle w:val="Compact"/>
              <w:jc w:val="left"/>
            </w:pPr>
            <m:oMath>
              <m:r>
                <m:t>r</m:t>
              </m:r>
            </m:oMath>
          </w:p>
        </w:tc>
        <w:tc>
          <w:tcPr/>
          <w:p>
            <w:pPr>
              <w:pStyle w:val="Compact"/>
              <w:jc w:val="left"/>
            </w:pPr>
            <w:r>
              <w:t xml:space="preserve">Rotation: 2-,3-,4-year</w:t>
            </w:r>
          </w:p>
        </w:tc>
        <w:tc>
          <w:tcPr/>
          <w:p>
            <w:pPr>
              <w:pStyle w:val="Compact"/>
            </w:pPr>
          </w:p>
        </w:tc>
      </w:tr>
      <w:tr>
        <w:tc>
          <w:tcPr/>
          <w:p>
            <w:pPr>
              <w:pStyle w:val="Compact"/>
            </w:pPr>
          </w:p>
        </w:tc>
        <w:tc>
          <w:tcPr/>
          <w:p>
            <w:pPr>
              <w:pStyle w:val="Compact"/>
            </w:pPr>
          </w:p>
        </w:tc>
        <w:tc>
          <w:tcPr/>
          <w:p>
            <w:pPr>
              <w:pStyle w:val="Compact"/>
              <w:jc w:val="left"/>
            </w:pPr>
            <m:oMath>
              <m:r>
                <m:t>h</m:t>
              </m:r>
            </m:oMath>
          </w:p>
        </w:tc>
        <w:tc>
          <w:tcPr/>
          <w:p>
            <w:pPr>
              <w:pStyle w:val="Compact"/>
              <w:jc w:val="left"/>
            </w:pPr>
            <w:r>
              <w:t xml:space="preserve">Herbicide: low or conventional</w:t>
            </w:r>
          </w:p>
        </w:tc>
        <w:tc>
          <w:tcPr/>
          <w:p>
            <w:pPr>
              <w:pStyle w:val="Compact"/>
            </w:pPr>
          </w:p>
        </w:tc>
      </w:tr>
      <w:tr>
        <w:tc>
          <w:tcPr/>
          <w:p>
            <w:pPr>
              <w:pStyle w:val="Compact"/>
            </w:pPr>
          </w:p>
        </w:tc>
        <w:tc>
          <w:tcPr/>
          <w:p>
            <w:pPr>
              <w:pStyle w:val="Compact"/>
            </w:pPr>
          </w:p>
        </w:tc>
        <w:tc>
          <w:tcPr/>
          <w:p>
            <w:pPr>
              <w:pStyle w:val="Compact"/>
              <w:jc w:val="left"/>
            </w:pPr>
            <m:oMath>
              <m:sSub>
                <m:e>
                  <m:r>
                    <m:t>N</m:t>
                  </m:r>
                </m:e>
                <m:sub>
                  <m:sSub>
                    <m:e>
                      <m:r>
                        <m:t>s</m:t>
                      </m:r>
                    </m:e>
                    <m:sub>
                      <m:r>
                        <m:t>d</m:t>
                      </m:r>
                    </m:sub>
                  </m:sSub>
                </m:sub>
              </m:sSub>
            </m:oMath>
          </w:p>
        </w:tc>
        <w:tc>
          <w:tcPr/>
          <w:p>
            <w:pPr>
              <w:pStyle w:val="Compact"/>
              <w:jc w:val="left"/>
            </w:pPr>
            <w:r>
              <w:t xml:space="preserve">Seedbank density at stratum</w:t>
            </w:r>
            <w:r>
              <w:t xml:space="preserve"> </w:t>
            </w:r>
            <m:oMath>
              <m:sSup>
                <m:e>
                  <m:r>
                    <m:t>d</m:t>
                  </m:r>
                </m:e>
                <m:sup>
                  <m:r>
                    <m:t>t</m:t>
                  </m:r>
                  <m:r>
                    <m:t>h</m:t>
                  </m:r>
                </m:sup>
              </m:sSup>
            </m:oMath>
          </w:p>
        </w:tc>
        <w:tc>
          <w:tcPr/>
          <w:p>
            <w:pPr>
              <w:pStyle w:val="Compact"/>
            </w:pPr>
          </w:p>
        </w:tc>
      </w:tr>
      <w:tr>
        <w:tc>
          <w:tcPr/>
          <w:p>
            <w:pPr>
              <w:pStyle w:val="Compact"/>
            </w:pPr>
          </w:p>
        </w:tc>
        <w:tc>
          <w:tcPr/>
          <w:p>
            <w:pPr>
              <w:pStyle w:val="Compact"/>
            </w:pPr>
          </w:p>
        </w:tc>
        <w:tc>
          <w:tcPr/>
          <w:p>
            <w:pPr>
              <w:pStyle w:val="Compact"/>
              <w:jc w:val="left"/>
            </w:pPr>
            <m:oMath>
              <m:sSub>
                <m:e>
                  <m:r>
                    <m:t>N</m:t>
                  </m:r>
                </m:e>
                <m:sub>
                  <m:sSub>
                    <m:e>
                      <m:r>
                        <m:t>p</m:t>
                      </m:r>
                    </m:e>
                    <m:sub>
                      <m:r>
                        <m:t>i</m:t>
                      </m:r>
                    </m:sub>
                  </m:sSub>
                </m:sub>
              </m:sSub>
            </m:oMath>
          </w:p>
        </w:tc>
        <w:tc>
          <w:tcPr/>
          <w:p>
            <w:pPr>
              <w:pStyle w:val="Compact"/>
              <w:jc w:val="left"/>
            </w:pPr>
            <w:r>
              <w:t xml:space="preserve">Cohort</w:t>
            </w:r>
            <w:r>
              <w:t xml:space="preserve"> </w:t>
            </w:r>
            <m:oMath>
              <m:sSup>
                <m:e>
                  <m:r>
                    <m:t>i</m:t>
                  </m:r>
                </m:e>
                <m:sup>
                  <m:r>
                    <m:t>t</m:t>
                  </m:r>
                  <m:r>
                    <m:t>h</m:t>
                  </m:r>
                </m:sup>
              </m:sSup>
            </m:oMath>
            <w:r>
              <w:t xml:space="preserve"> </w:t>
            </w:r>
            <w:r>
              <w:t xml:space="preserve">plant density</w:t>
            </w:r>
          </w:p>
        </w:tc>
        <w:tc>
          <w:tcPr/>
          <w:p>
            <w:pPr>
              <w:pStyle w:val="Compact"/>
            </w:pP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Seedling establishment</w:t>
            </w:r>
          </w:p>
        </w:tc>
        <w:tc>
          <w:tcPr/>
          <w:p>
            <w:pPr>
              <w:pStyle w:val="Compact"/>
              <w:jc w:val="left"/>
            </w:pPr>
            <m:oMathPara>
              <m:oMathParaPr>
                <m:jc m:val="center"/>
              </m:oMathParaPr>
              <m:oMath>
                <m:sSub>
                  <m:e>
                    <m:r>
                      <m:t>e</m:t>
                    </m:r>
                  </m:e>
                  <m:sub>
                    <m:r>
                      <m:t>i</m:t>
                    </m:r>
                    <m:r>
                      <m:rPr>
                        <m:sty m:val="p"/>
                      </m:rPr>
                      <m:t>,</m:t>
                    </m:r>
                    <m:d>
                      <m:dPr>
                        <m:begChr m:val="("/>
                        <m:endChr m:val=")"/>
                        <m:sepChr m:val=""/>
                        <m:grow/>
                      </m:dPr>
                      <m:e>
                        <m:r>
                          <m:t>r</m:t>
                        </m:r>
                        <m:r>
                          <m:rPr>
                            <m:sty m:val="p"/>
                          </m:rPr>
                          <m:t>,</m:t>
                        </m:r>
                        <m:r>
                          <m:t>c</m:t>
                        </m:r>
                        <m:r>
                          <m:rPr>
                            <m:sty m:val="p"/>
                          </m:rPr>
                          <m:t>,</m:t>
                        </m:r>
                        <m:r>
                          <m:t>h</m:t>
                        </m:r>
                      </m:e>
                    </m:d>
                  </m:sub>
                </m:sSub>
                <m:r>
                  <m:rPr>
                    <m:sty m:val="p"/>
                  </m:rPr>
                  <m:t>=</m:t>
                </m:r>
                <m:f>
                  <m:fPr>
                    <m:type m:val="bar"/>
                  </m:fPr>
                  <m:num>
                    <m:sSub>
                      <m:e>
                        <m:r>
                          <m:t>N</m:t>
                        </m:r>
                      </m:e>
                      <m:sub>
                        <m:sSub>
                          <m:e>
                            <m:r>
                              <m:t>p</m:t>
                            </m:r>
                          </m:e>
                          <m:sub>
                            <m:r>
                              <m:t>i</m:t>
                            </m:r>
                          </m:sub>
                        </m:sSub>
                        <m:r>
                          <m:rPr>
                            <m:sty m:val="p"/>
                          </m:rPr>
                          <m:t>,</m:t>
                        </m:r>
                        <m:d>
                          <m:dPr>
                            <m:begChr m:val="("/>
                            <m:endChr m:val=")"/>
                            <m:sepChr m:val=""/>
                            <m:grow/>
                          </m:dPr>
                          <m:e>
                            <m:r>
                              <m:t>r</m:t>
                            </m:r>
                            <m:r>
                              <m:rPr>
                                <m:sty m:val="p"/>
                              </m:rPr>
                              <m:t>,</m:t>
                            </m:r>
                            <m:r>
                              <m:t>c</m:t>
                            </m:r>
                            <m:r>
                              <m:rPr>
                                <m:sty m:val="p"/>
                              </m:rPr>
                              <m:t>,</m:t>
                            </m:r>
                            <m:r>
                              <m:t>h</m:t>
                            </m:r>
                          </m:e>
                        </m:d>
                      </m:sub>
                    </m:sSub>
                  </m:num>
                  <m:den>
                    <m:sSub>
                      <m:e>
                        <m:r>
                          <m:t>N</m:t>
                        </m:r>
                      </m:e>
                      <m:sub>
                        <m:r>
                          <m:t>s</m:t>
                        </m:r>
                        <m:r>
                          <m:rPr>
                            <m:sty m:val="p"/>
                          </m:rPr>
                          <m:t>,</m:t>
                        </m:r>
                        <m:d>
                          <m:dPr>
                            <m:begChr m:val="("/>
                            <m:endChr m:val=")"/>
                            <m:sepChr m:val=""/>
                            <m:grow/>
                          </m:dPr>
                          <m:e>
                            <m:r>
                              <m:t>r</m:t>
                            </m:r>
                            <m:r>
                              <m:rPr>
                                <m:sty m:val="p"/>
                              </m:rPr>
                              <m:t>,</m:t>
                            </m:r>
                            <m:r>
                              <m:t>c</m:t>
                            </m:r>
                            <m:r>
                              <m:rPr>
                                <m:sty m:val="p"/>
                              </m:rPr>
                              <m:t>,</m:t>
                            </m:r>
                            <m:r>
                              <m:t>h</m:t>
                            </m:r>
                          </m:e>
                        </m:d>
                      </m:sub>
                    </m:sSub>
                  </m:den>
                </m:f>
              </m:oMath>
            </m:oMathPara>
          </w:p>
        </w:tc>
        <w:tc>
          <w:tcPr/>
          <w:p>
            <w:pPr>
              <w:pStyle w:val="Compact"/>
            </w:pPr>
          </w:p>
        </w:tc>
        <w:tc>
          <w:tcPr/>
          <w:p>
            <w:pPr>
              <w:pStyle w:val="Compact"/>
              <w:jc w:val="left"/>
            </w:pPr>
            <w:r>
              <w:t xml:space="preserve">The proportion of the seedbank’s top stratum to germinate to cohort</w:t>
            </w:r>
            <w:r>
              <w:t xml:space="preserve"> </w:t>
            </w:r>
            <m:oMath>
              <m:sSup>
                <m:e>
                  <m:r>
                    <m:t>i</m:t>
                  </m:r>
                </m:e>
                <m:sup>
                  <m:r>
                    <m:t>t</m:t>
                  </m:r>
                  <m:r>
                    <m:t>h</m:t>
                  </m:r>
                </m:sup>
              </m:sSup>
            </m:oMath>
          </w:p>
        </w:tc>
        <w:tc>
          <w:tcPr/>
          <w:p>
            <w:pPr>
              <w:pStyle w:val="Compact"/>
            </w:pPr>
          </w:p>
        </w:tc>
      </w:tr>
      <w:tr>
        <w:tc>
          <w:tcPr/>
          <w:p>
            <w:pPr>
              <w:pStyle w:val="Compact"/>
              <w:jc w:val="left"/>
            </w:pPr>
            <w:r>
              <w:t xml:space="preserve">Surface seedbank density</w:t>
            </w:r>
          </w:p>
        </w:tc>
        <w:tc>
          <w:tcPr/>
          <w:p>
            <w:pPr>
              <w:pStyle w:val="Compact"/>
            </w:pPr>
          </w:p>
        </w:tc>
        <w:tc>
          <w:tcPr/>
          <w:p>
            <w:pPr>
              <w:pStyle w:val="Compact"/>
              <w:jc w:val="left"/>
            </w:pPr>
            <m:oMath>
              <m:sSub>
                <m:e>
                  <m:r>
                    <m:t>N</m:t>
                  </m:r>
                </m:e>
                <m:sub>
                  <m:sSub>
                    <m:e>
                      <m:r>
                        <m:t>s</m:t>
                      </m:r>
                    </m:e>
                    <m:sub>
                      <m:r>
                        <m:t>1</m:t>
                      </m:r>
                    </m:sub>
                  </m:sSub>
                  <m:r>
                    <m:rPr>
                      <m:sty m:val="p"/>
                    </m:rPr>
                    <m:t>,</m:t>
                  </m:r>
                  <m:d>
                    <m:dPr>
                      <m:begChr m:val="("/>
                      <m:endChr m:val=")"/>
                      <m:sepChr m:val=""/>
                      <m:grow/>
                    </m:dPr>
                    <m:e>
                      <m:r>
                        <m:t>r</m:t>
                      </m:r>
                      <m:r>
                        <m:rPr>
                          <m:sty m:val="p"/>
                        </m:rPr>
                        <m:t>,</m:t>
                      </m:r>
                      <m:r>
                        <m:t>c</m:t>
                      </m:r>
                      <m:r>
                        <m:rPr>
                          <m:sty m:val="p"/>
                        </m:rPr>
                        <m:t>,</m:t>
                      </m:r>
                      <m:r>
                        <m:t>h</m:t>
                      </m:r>
                    </m:e>
                  </m:d>
                </m:sub>
              </m:sSub>
            </m:oMath>
          </w:p>
        </w:tc>
        <w:tc>
          <w:tcPr/>
          <w:p>
            <w:pPr>
              <w:pStyle w:val="Compact"/>
              <w:jc w:val="left"/>
            </w:pPr>
            <w:r>
              <w:t xml:space="preserve">in Crop</w:t>
            </w:r>
            <w:r>
              <w:t xml:space="preserve"> </w:t>
            </w:r>
            <m:oMath>
              <m:r>
                <m:t>c</m:t>
              </m:r>
            </m:oMath>
            <w:r>
              <w:t xml:space="preserve">, rotation</w:t>
            </w:r>
            <w:r>
              <w:t xml:space="preserve"> </w:t>
            </w:r>
            <m:oMath>
              <m:r>
                <m:t>r</m:t>
              </m:r>
            </m:oMath>
            <w:r>
              <w:t xml:space="preserve">, herbicide</w:t>
            </w:r>
            <w:r>
              <w:t xml:space="preserve"> </w:t>
            </w:r>
            <m:oMath>
              <m:r>
                <m:t>h</m:t>
              </m:r>
            </m:oMath>
          </w:p>
        </w:tc>
        <w:tc>
          <w:tcPr/>
          <w:p>
            <w:pPr>
              <w:pStyle w:val="Compact"/>
            </w:pPr>
          </w:p>
        </w:tc>
      </w:tr>
      <w:tr>
        <w:tc>
          <w:tcPr/>
          <w:p>
            <w:pPr>
              <w:pStyle w:val="Compact"/>
              <w:jc w:val="left"/>
            </w:pPr>
            <w:r>
              <w:t xml:space="preserve">Seedling density</w:t>
            </w:r>
          </w:p>
        </w:tc>
        <w:tc>
          <w:tcPr/>
          <w:p>
            <w:pPr>
              <w:pStyle w:val="Compact"/>
            </w:pPr>
          </w:p>
        </w:tc>
        <w:tc>
          <w:tcPr/>
          <w:p>
            <w:pPr>
              <w:pStyle w:val="Compact"/>
              <w:jc w:val="left"/>
            </w:pPr>
            <m:oMath>
              <m:sSub>
                <m:e>
                  <m:r>
                    <m:t>N</m:t>
                  </m:r>
                </m:e>
                <m:sub>
                  <m:sSub>
                    <m:e>
                      <m:r>
                        <m:t>p</m:t>
                      </m:r>
                    </m:e>
                    <m:sub>
                      <m:r>
                        <m:t>i</m:t>
                      </m:r>
                    </m:sub>
                  </m:sSub>
                  <m:r>
                    <m:rPr>
                      <m:sty m:val="p"/>
                    </m:rPr>
                    <m:t>,</m:t>
                  </m:r>
                  <m:d>
                    <m:dPr>
                      <m:begChr m:val="("/>
                      <m:endChr m:val=")"/>
                      <m:sepChr m:val=""/>
                      <m:grow/>
                    </m:dPr>
                    <m:e>
                      <m:r>
                        <m:t>r</m:t>
                      </m:r>
                      <m:r>
                        <m:rPr>
                          <m:sty m:val="p"/>
                        </m:rPr>
                        <m:t>,</m:t>
                      </m:r>
                      <m:r>
                        <m:t>c</m:t>
                      </m:r>
                      <m:r>
                        <m:rPr>
                          <m:sty m:val="p"/>
                        </m:rPr>
                        <m:t>,</m:t>
                      </m:r>
                      <m:r>
                        <m:t>h</m:t>
                      </m:r>
                    </m:e>
                  </m:d>
                </m:sub>
              </m:sSub>
              <m:d>
                <m:dPr>
                  <m:begChr m:val="("/>
                  <m:endChr m:val=")"/>
                  <m:sepChr m:val=""/>
                  <m:grow/>
                </m:dPr>
                <m:e>
                  <m:r>
                    <m:t>δ</m:t>
                  </m:r>
                </m:e>
              </m:d>
            </m:oMath>
          </w:p>
        </w:tc>
        <w:tc>
          <w:tcPr/>
          <w:p>
            <w:pPr>
              <w:pStyle w:val="Compact"/>
              <w:jc w:val="left"/>
            </w:pPr>
            <w:r>
              <w:t xml:space="preserve">in Crop</w:t>
            </w:r>
            <w:r>
              <w:t xml:space="preserve"> </w:t>
            </w:r>
            <m:oMath>
              <m:r>
                <m:t>c</m:t>
              </m:r>
            </m:oMath>
            <w:r>
              <w:t xml:space="preserve">, rotation</w:t>
            </w:r>
            <w:r>
              <w:t xml:space="preserve"> </w:t>
            </w:r>
            <m:oMath>
              <m:r>
                <m:t>r</m:t>
              </m:r>
            </m:oMath>
            <w:r>
              <w:t xml:space="preserve">, herbicide</w:t>
            </w:r>
            <w:r>
              <w:t xml:space="preserve"> </w:t>
            </w:r>
            <m:oMath>
              <m:r>
                <m:t>h</m:t>
              </m:r>
            </m:oMath>
          </w:p>
        </w:tc>
        <w:tc>
          <w:tcPr/>
          <w:p>
            <w:pPr>
              <w:pStyle w:val="Compact"/>
            </w:pP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Plant survival</w:t>
            </w:r>
          </w:p>
        </w:tc>
        <w:tc>
          <w:tcPr/>
          <w:p>
            <w:pPr>
              <w:pStyle w:val="Compact"/>
              <w:jc w:val="left"/>
            </w:pPr>
            <m:oMathPara>
              <m:oMathParaPr>
                <m:jc m:val="center"/>
              </m:oMathParaPr>
              <m:oMath>
                <m:sSub>
                  <m:e>
                    <m:r>
                      <m:t>l</m:t>
                    </m:r>
                  </m:e>
                  <m:sub>
                    <m:r>
                      <m:t>i</m:t>
                    </m:r>
                    <m:r>
                      <m:rPr>
                        <m:sty m:val="p"/>
                      </m:rPr>
                      <m:t>,</m:t>
                    </m:r>
                    <m:d>
                      <m:dPr>
                        <m:begChr m:val="("/>
                        <m:endChr m:val=")"/>
                        <m:sepChr m:val=""/>
                        <m:grow/>
                      </m:dPr>
                      <m:e>
                        <m:r>
                          <m:t>r</m:t>
                        </m:r>
                        <m:r>
                          <m:rPr>
                            <m:sty m:val="p"/>
                          </m:rPr>
                          <m:t>,</m:t>
                        </m:r>
                        <m:r>
                          <m:t>c</m:t>
                        </m:r>
                        <m:r>
                          <m:rPr>
                            <m:sty m:val="p"/>
                          </m:rPr>
                          <m:t>,</m:t>
                        </m:r>
                        <m:r>
                          <m:t>h</m:t>
                        </m:r>
                      </m:e>
                    </m:d>
                  </m:sub>
                </m:sSub>
                <m:r>
                  <m:rPr>
                    <m:sty m:val="p"/>
                  </m:rPr>
                  <m:t>=</m:t>
                </m:r>
                <m:f>
                  <m:fPr>
                    <m:type m:val="bar"/>
                  </m:fPr>
                  <m:num>
                    <m:sSub>
                      <m:e>
                        <m:r>
                          <m:t>N</m:t>
                        </m:r>
                      </m:e>
                      <m:sub>
                        <m:sSub>
                          <m:e>
                            <m:r>
                              <m:t>p</m:t>
                            </m:r>
                          </m:e>
                          <m:sub>
                            <m:r>
                              <m:t>i</m:t>
                            </m:r>
                          </m:sub>
                        </m:sSub>
                        <m:r>
                          <m:rPr>
                            <m:sty m:val="p"/>
                          </m:rPr>
                          <m:t>,</m:t>
                        </m:r>
                        <m:d>
                          <m:dPr>
                            <m:begChr m:val="("/>
                            <m:endChr m:val=")"/>
                            <m:sepChr m:val=""/>
                            <m:grow/>
                          </m:dPr>
                          <m:e>
                            <m:r>
                              <m:t>r</m:t>
                            </m:r>
                            <m:r>
                              <m:rPr>
                                <m:sty m:val="p"/>
                              </m:rPr>
                              <m:t>,</m:t>
                            </m:r>
                            <m:r>
                              <m:t>c</m:t>
                            </m:r>
                            <m:r>
                              <m:rPr>
                                <m:sty m:val="p"/>
                              </m:rPr>
                              <m:t>,</m:t>
                            </m:r>
                            <m:r>
                              <m:t>h</m:t>
                            </m:r>
                          </m:e>
                        </m:d>
                      </m:sub>
                    </m:sSub>
                    <m:d>
                      <m:dPr>
                        <m:begChr m:val="("/>
                        <m:endChr m:val=")"/>
                        <m:sepChr m:val=""/>
                        <m:grow/>
                      </m:dPr>
                      <m:e>
                        <m:r>
                          <m:t>δ</m:t>
                        </m:r>
                        <m:r>
                          <m:rPr>
                            <m:sty m:val="p"/>
                          </m:rPr>
                          <m:t>+</m:t>
                        </m:r>
                        <m:r>
                          <m:t>1</m:t>
                        </m:r>
                      </m:e>
                    </m:d>
                  </m:num>
                  <m:den>
                    <m:sSub>
                      <m:e>
                        <m:r>
                          <m:t>N</m:t>
                        </m:r>
                      </m:e>
                      <m:sub>
                        <m:sSub>
                          <m:e>
                            <m:r>
                              <m:t>p</m:t>
                            </m:r>
                          </m:e>
                          <m:sub>
                            <m:r>
                              <m:t>i</m:t>
                            </m:r>
                          </m:sub>
                        </m:sSub>
                        <m:r>
                          <m:rPr>
                            <m:sty m:val="p"/>
                          </m:rPr>
                          <m:t>,</m:t>
                        </m:r>
                        <m:d>
                          <m:dPr>
                            <m:begChr m:val="("/>
                            <m:endChr m:val=")"/>
                            <m:sepChr m:val=""/>
                            <m:grow/>
                          </m:dPr>
                          <m:e>
                            <m:r>
                              <m:t>r</m:t>
                            </m:r>
                            <m:r>
                              <m:rPr>
                                <m:sty m:val="p"/>
                              </m:rPr>
                              <m:t>,</m:t>
                            </m:r>
                            <m:r>
                              <m:t>c</m:t>
                            </m:r>
                            <m:r>
                              <m:rPr>
                                <m:sty m:val="p"/>
                              </m:rPr>
                              <m:t>,</m:t>
                            </m:r>
                            <m:r>
                              <m:t>h</m:t>
                            </m:r>
                          </m:e>
                        </m:d>
                      </m:sub>
                    </m:sSub>
                    <m:d>
                      <m:dPr>
                        <m:begChr m:val="("/>
                        <m:endChr m:val=")"/>
                        <m:sepChr m:val=""/>
                        <m:grow/>
                      </m:dPr>
                      <m:e>
                        <m:r>
                          <m:t>δ</m:t>
                        </m:r>
                      </m:e>
                    </m:d>
                  </m:den>
                </m:f>
              </m:oMath>
            </m:oMathPara>
          </w:p>
        </w:tc>
        <w:tc>
          <w:tcPr/>
          <w:p>
            <w:pPr>
              <w:pStyle w:val="Compact"/>
            </w:pPr>
          </w:p>
        </w:tc>
        <w:tc>
          <w:tcPr/>
          <w:p>
            <w:pPr>
              <w:pStyle w:val="Compact"/>
              <w:jc w:val="left"/>
            </w:pPr>
            <w:r>
              <w:t xml:space="preserve">The proportion seedling in each cohort that survives until the end of the crop season</w:t>
            </w:r>
          </w:p>
        </w:tc>
        <w:tc>
          <w:tcPr/>
          <w:p>
            <w:pPr>
              <w:pStyle w:val="Compact"/>
            </w:pPr>
          </w:p>
        </w:tc>
      </w:tr>
      <w:tr>
        <w:tc>
          <w:tcPr/>
          <w:p>
            <w:pPr>
              <w:pStyle w:val="Compact"/>
              <w:jc w:val="left"/>
            </w:pPr>
            <w:r>
              <w:t xml:space="preserve">Mature plant density</w:t>
            </w:r>
          </w:p>
        </w:tc>
        <w:tc>
          <w:tcPr/>
          <w:p>
            <w:pPr>
              <w:pStyle w:val="Compact"/>
            </w:pPr>
          </w:p>
        </w:tc>
        <w:tc>
          <w:tcPr/>
          <w:p>
            <w:pPr>
              <w:pStyle w:val="Compact"/>
              <w:jc w:val="left"/>
            </w:pPr>
            <m:oMath>
              <m:sSub>
                <m:e>
                  <m:r>
                    <m:t>N</m:t>
                  </m:r>
                </m:e>
                <m:sub>
                  <m:sSub>
                    <m:e>
                      <m:r>
                        <m:t>p</m:t>
                      </m:r>
                    </m:e>
                    <m:sub>
                      <m:r>
                        <m:t>i</m:t>
                      </m:r>
                    </m:sub>
                  </m:sSub>
                  <m:r>
                    <m:rPr>
                      <m:sty m:val="p"/>
                    </m:rPr>
                    <m:t>,</m:t>
                  </m:r>
                  <m:d>
                    <m:dPr>
                      <m:begChr m:val="("/>
                      <m:endChr m:val=")"/>
                      <m:sepChr m:val=""/>
                      <m:grow/>
                    </m:dPr>
                    <m:e>
                      <m:r>
                        <m:t>r</m:t>
                      </m:r>
                      <m:r>
                        <m:rPr>
                          <m:sty m:val="p"/>
                        </m:rPr>
                        <m:t>,</m:t>
                      </m:r>
                      <m:r>
                        <m:t>c</m:t>
                      </m:r>
                      <m:r>
                        <m:rPr>
                          <m:sty m:val="p"/>
                        </m:rPr>
                        <m:t>,</m:t>
                      </m:r>
                      <m:r>
                        <m:t>h</m:t>
                      </m:r>
                    </m:e>
                  </m:d>
                </m:sub>
              </m:sSub>
              <m:d>
                <m:dPr>
                  <m:begChr m:val="("/>
                  <m:endChr m:val=")"/>
                  <m:sepChr m:val=""/>
                  <m:grow/>
                </m:dPr>
                <m:e>
                  <m:r>
                    <m:t>δ</m:t>
                  </m:r>
                  <m:r>
                    <m:rPr>
                      <m:sty m:val="p"/>
                    </m:rPr>
                    <m:t>+</m:t>
                  </m:r>
                  <m:r>
                    <m:t>1</m:t>
                  </m:r>
                </m:e>
              </m:d>
            </m:oMath>
          </w:p>
        </w:tc>
        <w:tc>
          <w:tcPr/>
          <w:p>
            <w:pPr>
              <w:pStyle w:val="Compact"/>
              <w:jc w:val="left"/>
            </w:pPr>
            <w:r>
              <w:t xml:space="preserve">in Crop</w:t>
            </w:r>
            <w:r>
              <w:t xml:space="preserve"> </w:t>
            </w:r>
            <m:oMath>
              <m:r>
                <m:t>c</m:t>
              </m:r>
            </m:oMath>
            <w:r>
              <w:t xml:space="preserve">, rotation</w:t>
            </w:r>
            <w:r>
              <w:t xml:space="preserve"> </w:t>
            </w:r>
            <m:oMath>
              <m:r>
                <m:t>r</m:t>
              </m:r>
            </m:oMath>
            <w:r>
              <w:t xml:space="preserve">, herbicide</w:t>
            </w:r>
            <w:r>
              <w:t xml:space="preserve"> </w:t>
            </w:r>
            <m:oMath>
              <m:r>
                <m:t>h</m:t>
              </m:r>
            </m:oMath>
          </w:p>
        </w:tc>
        <w:tc>
          <w:tcPr/>
          <w:p>
            <w:pPr>
              <w:pStyle w:val="Compact"/>
            </w:pP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Initial chemical resistance ratio</w:t>
            </w:r>
          </w:p>
        </w:tc>
        <w:tc>
          <w:tcPr/>
          <w:p>
            <w:pPr>
              <w:pStyle w:val="Compact"/>
              <w:jc w:val="left"/>
            </w:pPr>
            <m:oMathPara>
              <m:oMathParaPr>
                <m:jc m:val="center"/>
              </m:oMathParaPr>
              <m:oMath>
                <m:r>
                  <m:t>l</m:t>
                </m:r>
                <m:r>
                  <m:t>o</m:t>
                </m:r>
                <m:r>
                  <m:t>g</m:t>
                </m:r>
                <m:f>
                  <m:fPr>
                    <m:type m:val="bar"/>
                  </m:fPr>
                  <m:num>
                    <m:r>
                      <m:t>P</m:t>
                    </m:r>
                    <m:d>
                      <m:dPr>
                        <m:begChr m:val="["/>
                        <m:endChr m:val="]"/>
                        <m:sepChr m:val=""/>
                        <m:grow/>
                      </m:dPr>
                      <m:e>
                        <m:r>
                          <m:t>S</m:t>
                        </m:r>
                        <m:r>
                          <m:rPr>
                            <m:sty m:val="p"/>
                          </m:rPr>
                          <m:t>=</m:t>
                        </m:r>
                        <m:r>
                          <m:t>1</m:t>
                        </m:r>
                      </m:e>
                    </m:d>
                  </m:num>
                  <m:den>
                    <m:r>
                      <m:t>P</m:t>
                    </m:r>
                    <m:d>
                      <m:dPr>
                        <m:begChr m:val="["/>
                        <m:endChr m:val="]"/>
                        <m:sepChr m:val=""/>
                        <m:grow/>
                      </m:dPr>
                      <m:e>
                        <m:r>
                          <m:t>S</m:t>
                        </m:r>
                        <m:r>
                          <m:rPr>
                            <m:sty m:val="p"/>
                          </m:rPr>
                          <m:t>=</m:t>
                        </m:r>
                        <m:r>
                          <m:t>0</m:t>
                        </m:r>
                      </m:e>
                    </m:d>
                  </m:den>
                </m:f>
                <m:r>
                  <m:rPr>
                    <m:sty m:val="p"/>
                  </m:rPr>
                  <m:t>=</m:t>
                </m:r>
                <m:sSup>
                  <m:e>
                    <m:r>
                      <m:t>R</m:t>
                    </m:r>
                  </m:e>
                  <m:sup>
                    <m:r>
                      <m:t>T</m:t>
                    </m:r>
                  </m:sup>
                </m:sSup>
                <m:r>
                  <m:t>X</m:t>
                </m:r>
                <m:r>
                  <m:t> </m:t>
                </m:r>
                <m:r>
                  <m:t> </m:t>
                </m:r>
                <m:d>
                  <m:dPr>
                    <m:begChr m:val="["/>
                    <m:endChr m:val="]"/>
                    <m:sepChr m:val=""/>
                    <m:grow/>
                  </m:dPr>
                  <m:e>
                    <m:r>
                      <m:t>2</m:t>
                    </m:r>
                  </m:e>
                </m:d>
              </m:oMath>
            </m:oMathPara>
          </w:p>
        </w:tc>
        <w:tc>
          <w:tcPr/>
          <w:p>
            <w:pPr>
              <w:pStyle w:val="Compact"/>
            </w:pPr>
          </w:p>
        </w:tc>
        <w:tc>
          <w:tcPr/>
          <w:p>
            <w:pPr>
              <w:pStyle w:val="Compact"/>
            </w:pPr>
          </w:p>
        </w:tc>
        <w:tc>
          <w:tcPr/>
          <w:p>
            <w:pPr>
              <w:pStyle w:val="Compact"/>
              <w:jc w:val="left"/>
            </w:pPr>
            <w:r>
              <w:t xml:space="preserve">Equation 3.16,</w:t>
            </w:r>
            <w:r>
              <w:t xml:space="preserve"> </w:t>
            </w:r>
            <w:r>
              <w:t xml:space="preserve">(</w:t>
            </w:r>
            <w:r>
              <w:rPr>
                <w:bCs/>
                <w:b/>
              </w:rPr>
              <w:t xml:space="preserve">caswellMatrixPopulationModels2001?</w:t>
            </w:r>
            <w:r>
              <w:t xml:space="preserve">)</w:t>
            </w:r>
            <w:r>
              <w:t xml:space="preserve">; Table 8.1,</w:t>
            </w:r>
            <w:r>
              <w:t xml:space="preserve"> </w:t>
            </w:r>
            <w:r>
              <w:t xml:space="preserve">(</w:t>
            </w:r>
            <w:r>
              <w:rPr>
                <w:bCs/>
                <w:b/>
              </w:rPr>
              <w:t xml:space="preserve">mortimerEvolutionHerbicideResistance1995?</w:t>
            </w:r>
            <w:r>
              <w:t xml:space="preserve">)</w:t>
            </w:r>
          </w:p>
        </w:tc>
      </w:tr>
      <w:tr>
        <w:tc>
          <w:tcPr/>
          <w:p>
            <w:pPr>
              <w:pStyle w:val="Compact"/>
            </w:pPr>
          </w:p>
        </w:tc>
        <w:tc>
          <w:tcPr/>
          <w:p>
            <w:pPr>
              <w:pStyle w:val="Compact"/>
            </w:pPr>
          </w:p>
        </w:tc>
        <w:tc>
          <w:tcPr/>
          <w:p>
            <w:pPr>
              <w:pStyle w:val="Compact"/>
              <w:jc w:val="left"/>
            </w:pPr>
            <m:oMath>
              <m:r>
                <m:t>P</m:t>
              </m:r>
              <m:d>
                <m:dPr>
                  <m:begChr m:val="["/>
                  <m:endChr m:val="]"/>
                  <m:sepChr m:val=""/>
                  <m:grow/>
                </m:dPr>
                <m:e>
                  <m:r>
                    <m:t>S</m:t>
                  </m:r>
                </m:e>
              </m:d>
            </m:oMath>
          </w:p>
        </w:tc>
        <w:tc>
          <w:tcPr/>
          <w:p>
            <w:pPr>
              <w:pStyle w:val="Compact"/>
              <w:jc w:val="left"/>
            </w:pPr>
            <w:r>
              <w:t xml:space="preserve">probability of survival (1) or death (0) when exposed to an herbicide mechanism of action</w:t>
            </w:r>
          </w:p>
        </w:tc>
        <w:tc>
          <w:tcPr/>
          <w:p>
            <w:pPr>
              <w:pStyle w:val="Compact"/>
            </w:pPr>
          </w:p>
        </w:tc>
      </w:tr>
      <w:tr>
        <w:tc>
          <w:tcPr/>
          <w:p>
            <w:pPr>
              <w:pStyle w:val="Compact"/>
            </w:pPr>
          </w:p>
        </w:tc>
        <w:tc>
          <w:tcPr/>
          <w:p>
            <w:pPr>
              <w:pStyle w:val="Compact"/>
            </w:pPr>
          </w:p>
        </w:tc>
        <w:tc>
          <w:tcPr/>
          <w:p>
            <w:pPr>
              <w:pStyle w:val="Compact"/>
              <w:jc w:val="left"/>
            </w:pPr>
            <m:oMath>
              <m:sSup>
                <m:e>
                  <m:r>
                    <m:t>R</m:t>
                  </m:r>
                </m:e>
                <m:sup>
                  <m:r>
                    <m:t>T</m:t>
                  </m:r>
                </m:sup>
              </m:sSup>
            </m:oMath>
          </w:p>
        </w:tc>
        <w:tc>
          <w:tcPr/>
          <w:p>
            <w:pPr>
              <w:pStyle w:val="Compact"/>
              <w:jc w:val="left"/>
            </w:pPr>
            <w:r>
              <w:t xml:space="preserve">vector of coefficient, transposed</w:t>
            </w:r>
          </w:p>
        </w:tc>
        <w:tc>
          <w:tcPr/>
          <w:p>
            <w:pPr>
              <w:pStyle w:val="Compact"/>
            </w:pPr>
          </w:p>
        </w:tc>
      </w:tr>
      <w:tr>
        <w:tc>
          <w:tcPr/>
          <w:p>
            <w:pPr>
              <w:pStyle w:val="Compact"/>
            </w:pPr>
          </w:p>
        </w:tc>
        <w:tc>
          <w:tcPr/>
          <w:p>
            <w:pPr>
              <w:pStyle w:val="Compact"/>
            </w:pPr>
          </w:p>
        </w:tc>
        <w:tc>
          <w:tcPr/>
          <w:p>
            <w:pPr>
              <w:pStyle w:val="Compact"/>
              <w:jc w:val="left"/>
            </w:pPr>
            <m:oMath>
              <m:r>
                <m:t>X</m:t>
              </m:r>
            </m:oMath>
          </w:p>
        </w:tc>
        <w:tc>
          <w:tcPr/>
          <w:p>
            <w:pPr>
              <w:pStyle w:val="Compact"/>
              <w:jc w:val="left"/>
            </w:pPr>
            <w:r>
              <w:t xml:space="preserve">vector of the threshold at which a population is considered resistant to a particular herbicide mechanism of action</w:t>
            </w:r>
          </w:p>
        </w:tc>
        <w:tc>
          <w:tcPr/>
          <w:p>
            <w:pPr>
              <w:pStyle w:val="Compact"/>
            </w:pPr>
          </w:p>
        </w:tc>
      </w:tr>
      <w:tr>
        <w:tc>
          <w:tcPr/>
          <w:p>
            <w:pPr>
              <w:pStyle w:val="Compact"/>
              <w:jc w:val="left"/>
            </w:pPr>
            <w:r>
              <w:t xml:space="preserve">Resistance to individual herbicide mechanism of action</w:t>
            </w:r>
          </w:p>
        </w:tc>
        <w:tc>
          <w:tcPr/>
          <w:p>
            <w:pPr>
              <w:pStyle w:val="Compact"/>
              <w:jc w:val="left"/>
            </w:pPr>
            <m:oMathPara>
              <m:oMathParaPr>
                <m:jc m:val="center"/>
              </m:oMathParaPr>
              <m:oMath>
                <m:sSub>
                  <m:e>
                    <m:r>
                      <m:t>R</m:t>
                    </m:r>
                  </m:e>
                  <m:sub>
                    <m:r>
                      <m:t>m</m:t>
                    </m:r>
                  </m:sub>
                </m:sSub>
                <m:r>
                  <m:rPr>
                    <m:sty m:val="p"/>
                  </m:rPr>
                  <m:t>=</m:t>
                </m:r>
                <m:sSub>
                  <m:e>
                    <m:r>
                      <m:t>R</m:t>
                    </m:r>
                  </m:e>
                  <m:sub>
                    <m:r>
                      <m:t>0</m:t>
                    </m:r>
                  </m:sub>
                </m:sSub>
                <m:sSup>
                  <m:e>
                    <m:d>
                      <m:dPr>
                        <m:begChr m:val="("/>
                        <m:endChr m:val=")"/>
                        <m:sepChr m:val=""/>
                        <m:grow/>
                      </m:dPr>
                      <m:e>
                        <m:r>
                          <m:t>1</m:t>
                        </m:r>
                        <m:r>
                          <m:rPr>
                            <m:sty m:val="p"/>
                          </m:rPr>
                          <m:t>+</m:t>
                        </m:r>
                        <m:f>
                          <m:fPr>
                            <m:type m:val="bar"/>
                          </m:fPr>
                          <m:num>
                            <m:sSub>
                              <m:e>
                                <m:r>
                                  <m:t>F</m:t>
                                </m:r>
                              </m:e>
                              <m:sub>
                                <m:r>
                                  <m:t>α</m:t>
                                </m:r>
                              </m:sub>
                            </m:sSub>
                          </m:num>
                          <m:den>
                            <m:r>
                              <m:t>b</m:t>
                            </m:r>
                          </m:den>
                        </m:f>
                      </m:e>
                    </m:d>
                  </m:e>
                  <m:sup>
                    <m:r>
                      <m:t>m</m:t>
                    </m:r>
                  </m:sup>
                </m:sSup>
                <m:r>
                  <m:t> </m:t>
                </m:r>
                <m:r>
                  <m:t> </m:t>
                </m:r>
                <m:d>
                  <m:dPr>
                    <m:begChr m:val="["/>
                    <m:endChr m:val="]"/>
                    <m:sepChr m:val=""/>
                    <m:grow/>
                  </m:dPr>
                  <m:e>
                    <m:r>
                      <m:t>3</m:t>
                    </m:r>
                  </m:e>
                </m:d>
              </m:oMath>
            </m:oMathPara>
          </w:p>
        </w:tc>
        <w:tc>
          <w:tcPr/>
          <w:p>
            <w:pPr>
              <w:pStyle w:val="Compact"/>
            </w:pPr>
          </w:p>
        </w:tc>
        <w:tc>
          <w:tcPr/>
          <w:p>
            <w:pPr>
              <w:pStyle w:val="Compact"/>
            </w:pPr>
          </w:p>
        </w:tc>
        <w:tc>
          <w:tcPr/>
          <w:p>
            <w:pPr>
              <w:pStyle w:val="Compact"/>
              <w:jc w:val="left"/>
            </w:pPr>
            <w:r>
              <w:t xml:space="preserve">(Table 8.1,</w:t>
            </w:r>
            <w:r>
              <w:t xml:space="preserve"> </w:t>
            </w:r>
            <w:r>
              <w:rPr>
                <w:bCs/>
                <w:b/>
              </w:rPr>
              <w:t xml:space="preserve">mortimerEvolutionHerbicideResistance1995?</w:t>
            </w:r>
            <w:r>
              <w:t xml:space="preserve">)</w:t>
            </w:r>
          </w:p>
        </w:tc>
      </w:tr>
      <w:tr>
        <w:tc>
          <w:tcPr/>
          <w:p>
            <w:pPr>
              <w:pStyle w:val="Compact"/>
            </w:pPr>
          </w:p>
        </w:tc>
        <w:tc>
          <w:tcPr/>
          <w:p>
            <w:pPr>
              <w:pStyle w:val="Compact"/>
            </w:pPr>
          </w:p>
        </w:tc>
        <w:tc>
          <w:tcPr/>
          <w:p>
            <w:pPr>
              <w:pStyle w:val="Compact"/>
              <w:jc w:val="left"/>
            </w:pPr>
            <m:oMath>
              <m:sSub>
                <m:e>
                  <m:r>
                    <m:t>R</m:t>
                  </m:r>
                </m:e>
                <m:sub>
                  <m:r>
                    <m:t>ω</m:t>
                  </m:r>
                </m:sub>
              </m:sSub>
            </m:oMath>
          </w:p>
        </w:tc>
        <w:tc>
          <w:tcPr/>
          <w:p>
            <w:pPr>
              <w:pStyle w:val="Compact"/>
              <w:jc w:val="left"/>
            </w:pPr>
            <w:r>
              <w:t xml:space="preserve">The fraction of resistant plant after n repetitions of exposure</w:t>
            </w:r>
          </w:p>
        </w:tc>
        <w:tc>
          <w:tcPr/>
          <w:p>
            <w:pPr>
              <w:pStyle w:val="Compact"/>
            </w:pPr>
          </w:p>
        </w:tc>
      </w:tr>
      <w:tr>
        <w:tc>
          <w:tcPr/>
          <w:p>
            <w:pPr>
              <w:pStyle w:val="Compact"/>
            </w:pPr>
          </w:p>
        </w:tc>
        <w:tc>
          <w:tcPr/>
          <w:p>
            <w:pPr>
              <w:pStyle w:val="Compact"/>
            </w:pPr>
          </w:p>
        </w:tc>
        <w:tc>
          <w:tcPr/>
          <w:p>
            <w:pPr>
              <w:pStyle w:val="Compact"/>
              <w:jc w:val="left"/>
            </w:pPr>
            <m:oMath>
              <m:r>
                <m:t>q</m:t>
              </m:r>
            </m:oMath>
          </w:p>
        </w:tc>
        <w:tc>
          <w:tcPr/>
          <w:p>
            <w:pPr>
              <w:pStyle w:val="Compact"/>
              <w:jc w:val="left"/>
            </w:pPr>
            <w:r>
              <w:t xml:space="preserve">average seed survival years in the soil</w:t>
            </w:r>
          </w:p>
        </w:tc>
        <w:tc>
          <w:tcPr/>
          <w:p>
            <w:pPr>
              <w:pStyle w:val="Compact"/>
            </w:pPr>
          </w:p>
        </w:tc>
      </w:tr>
      <w:tr>
        <w:tc>
          <w:tcPr/>
          <w:p>
            <w:pPr>
              <w:pStyle w:val="Compact"/>
            </w:pPr>
          </w:p>
        </w:tc>
        <w:tc>
          <w:tcPr/>
          <w:p>
            <w:pPr>
              <w:pStyle w:val="Compact"/>
            </w:pPr>
          </w:p>
        </w:tc>
        <w:tc>
          <w:tcPr/>
          <w:p>
            <w:pPr>
              <w:pStyle w:val="Compact"/>
              <w:jc w:val="left"/>
            </w:pPr>
            <m:oMath>
              <m:r>
                <m:t>α</m:t>
              </m:r>
            </m:oMath>
          </w:p>
        </w:tc>
        <w:tc>
          <w:tcPr/>
          <w:p>
            <w:pPr>
              <w:pStyle w:val="Compact"/>
              <w:jc w:val="left"/>
            </w:pPr>
            <w:r>
              <w:t xml:space="preserve">resistant:susceptible ratio</w:t>
            </w:r>
          </w:p>
        </w:tc>
        <w:tc>
          <w:tcPr/>
          <w:p>
            <w:pPr>
              <w:pStyle w:val="Compact"/>
            </w:pPr>
          </w:p>
        </w:tc>
      </w:tr>
      <w:tr>
        <w:tc>
          <w:tcPr/>
          <w:p>
            <w:pPr>
              <w:pStyle w:val="Compact"/>
            </w:pPr>
          </w:p>
        </w:tc>
        <w:tc>
          <w:tcPr/>
          <w:p>
            <w:pPr>
              <w:pStyle w:val="Compact"/>
            </w:pPr>
          </w:p>
        </w:tc>
        <w:tc>
          <w:tcPr/>
          <w:p>
            <w:pPr>
              <w:pStyle w:val="Compact"/>
              <w:jc w:val="left"/>
            </w:pPr>
            <m:oMath>
              <m:r>
                <m:t>F</m:t>
              </m:r>
            </m:oMath>
          </w:p>
        </w:tc>
        <w:tc>
          <w:tcPr/>
          <w:p>
            <w:pPr>
              <w:pStyle w:val="Compact"/>
              <w:jc w:val="left"/>
            </w:pPr>
            <w:r>
              <w:t xml:space="preserve">fecundity of a surviving plant (presumably resistant) relative to a susceptible one</w:t>
            </w:r>
          </w:p>
        </w:tc>
        <w:tc>
          <w:tcPr/>
          <w:p>
            <w:pPr>
              <w:pStyle w:val="Compact"/>
            </w:pPr>
          </w:p>
        </w:tc>
      </w:tr>
      <w:tr>
        <w:tc>
          <w:tcPr/>
          <w:p>
            <w:pPr>
              <w:pStyle w:val="Compact"/>
              <w:jc w:val="left"/>
            </w:pPr>
            <w:r>
              <w:t xml:space="preserve">Resistance to multiple herbicide mechanisms of action</w:t>
            </w:r>
          </w:p>
        </w:tc>
        <w:tc>
          <w:tcPr/>
          <w:p>
            <w:pPr>
              <w:pStyle w:val="Compact"/>
              <w:jc w:val="left"/>
            </w:pPr>
            <m:oMathPara>
              <m:oMathParaPr>
                <m:jc m:val="center"/>
              </m:oMathParaPr>
              <m:oMath>
                <m:sSub>
                  <m:e>
                    <m:r>
                      <m:t>R</m:t>
                    </m:r>
                  </m:e>
                  <m:sub>
                    <m:r>
                      <m:t>ω</m:t>
                    </m:r>
                  </m:sub>
                </m:sSub>
                <m:r>
                  <m:rPr>
                    <m:sty m:val="p"/>
                  </m:rPr>
                  <m:t>=</m:t>
                </m:r>
                <m:nary>
                  <m:naryPr>
                    <m:chr m:val="∏"/>
                    <m:limLoc m:val="undOvr"/>
                    <m:subHide m:val="0"/>
                    <m:supHide m:val="0"/>
                  </m:naryPr>
                  <m:sub>
                    <m:r>
                      <m:t>m</m:t>
                    </m:r>
                    <m:r>
                      <m:rPr>
                        <m:sty m:val="p"/>
                      </m:rPr>
                      <m:t>=</m:t>
                    </m:r>
                    <m:r>
                      <m:t>1</m:t>
                    </m:r>
                  </m:sub>
                  <m:sup>
                    <m:r>
                      <m:t>M</m:t>
                    </m:r>
                  </m:sup>
                  <m:e>
                    <m:r>
                      <m:rPr>
                        <m:sty m:val="p"/>
                      </m:rPr>
                      <m:t>=</m:t>
                    </m:r>
                  </m:e>
                </m:nary>
                <m:sSub>
                  <m:e>
                    <m:r>
                      <m:t>R</m:t>
                    </m:r>
                  </m:e>
                  <m:sub>
                    <m:r>
                      <m:t>0</m:t>
                    </m:r>
                    <m:r>
                      <m:t>m</m:t>
                    </m:r>
                  </m:sub>
                </m:sSub>
                <m:sSup>
                  <m:e>
                    <m:d>
                      <m:dPr>
                        <m:begChr m:val="("/>
                        <m:endChr m:val=")"/>
                        <m:sepChr m:val=""/>
                        <m:grow/>
                      </m:dPr>
                      <m:e>
                        <m:r>
                          <m:t>1</m:t>
                        </m:r>
                        <m:r>
                          <m:rPr>
                            <m:sty m:val="p"/>
                          </m:rPr>
                          <m:t>+</m:t>
                        </m:r>
                        <m:f>
                          <m:fPr>
                            <m:type m:val="bar"/>
                          </m:fPr>
                          <m:num>
                            <m:sSub>
                              <m:e>
                                <m:r>
                                  <m:t>F</m:t>
                                </m:r>
                              </m:e>
                              <m:sub>
                                <m:r>
                                  <m:t>α</m:t>
                                </m:r>
                                <m:r>
                                  <m:t>m</m:t>
                                </m:r>
                              </m:sub>
                            </m:sSub>
                          </m:num>
                          <m:den>
                            <m:sSub>
                              <m:e>
                                <m:r>
                                  <m:t>q</m:t>
                                </m:r>
                              </m:e>
                              <m:sub>
                                <m:r>
                                  <m:t>m</m:t>
                                </m:r>
                              </m:sub>
                            </m:sSub>
                          </m:den>
                        </m:f>
                      </m:e>
                    </m:d>
                  </m:e>
                  <m:sup>
                    <m:r>
                      <m:t>n</m:t>
                    </m:r>
                    <m:r>
                      <m:t>m</m:t>
                    </m:r>
                  </m:sup>
                </m:sSup>
                <m:r>
                  <m:t> </m:t>
                </m:r>
                <m:r>
                  <m:t> </m:t>
                </m:r>
                <m:d>
                  <m:dPr>
                    <m:begChr m:val="["/>
                    <m:endChr m:val="]"/>
                    <m:sepChr m:val=""/>
                    <m:grow/>
                  </m:dPr>
                  <m:e>
                    <m:r>
                      <m:t>4</m:t>
                    </m:r>
                  </m:e>
                </m:d>
              </m:oMath>
            </m:oMathPara>
          </w:p>
        </w:tc>
        <w:tc>
          <w:tcPr/>
          <w:p>
            <w:pPr>
              <w:pStyle w:val="Compact"/>
            </w:pPr>
          </w:p>
        </w:tc>
        <w:tc>
          <w:tcPr/>
          <w:p>
            <w:pPr>
              <w:pStyle w:val="Compact"/>
            </w:pPr>
          </w:p>
        </w:tc>
        <w:tc>
          <w:tcPr/>
          <w:p>
            <w:pPr>
              <w:pStyle w:val="Compact"/>
            </w:pPr>
          </w:p>
        </w:tc>
      </w:tr>
      <w:tr>
        <w:tc>
          <w:tcPr/>
          <w:p>
            <w:pPr>
              <w:pStyle w:val="Compact"/>
              <w:jc w:val="left"/>
            </w:pPr>
            <w:r>
              <w:t xml:space="preserve">Mechanisms of action</w:t>
            </w:r>
          </w:p>
        </w:tc>
        <w:tc>
          <w:tcPr/>
          <w:p>
            <w:pPr>
              <w:pStyle w:val="Compact"/>
            </w:pPr>
          </w:p>
        </w:tc>
        <w:tc>
          <w:tcPr/>
          <w:p>
            <w:pPr>
              <w:pStyle w:val="Compact"/>
              <w:jc w:val="left"/>
            </w:pPr>
            <m:oMath>
              <m:r>
                <m:t>m</m:t>
              </m:r>
            </m:oMath>
          </w:p>
        </w:tc>
        <w:tc>
          <w:tcPr/>
          <w:p>
            <w:pPr>
              <w:pStyle w:val="Compact"/>
              <w:jc w:val="left"/>
            </w:pPr>
            <w:r>
              <w:t xml:space="preserve">from 1 to M (M to be determined)</w:t>
            </w:r>
          </w:p>
        </w:tc>
        <w:tc>
          <w:tcPr/>
          <w:p>
            <w:pPr>
              <w:pStyle w:val="Compact"/>
            </w:pP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Tolerance to physical control</w:t>
            </w:r>
          </w:p>
        </w:tc>
        <w:tc>
          <w:tcPr/>
          <w:p>
            <w:pPr>
              <w:pStyle w:val="Compact"/>
              <w:jc w:val="left"/>
            </w:pPr>
            <m:oMath>
              <m:sSub>
                <m:e>
                  <m:r>
                    <m:t>R</m:t>
                  </m:r>
                </m:e>
                <m:sub>
                  <m:r>
                    <m:t>ϕ</m:t>
                  </m:r>
                </m:sub>
              </m:sSub>
              <m:r>
                <m:rPr>
                  <m:sty m:val="p"/>
                </m:rPr>
                <m:t>=</m:t>
              </m:r>
              <m:sSub>
                <m:e>
                  <m:r>
                    <m:t>l</m:t>
                  </m:r>
                </m:e>
                <m:sub>
                  <m:r>
                    <m:t>i</m:t>
                  </m:r>
                </m:sub>
              </m:sSub>
              <m:r>
                <m:rPr>
                  <m:sty m:val="p"/>
                </m:rPr>
                <m:t>=</m:t>
              </m:r>
              <m:sSub>
                <m:e>
                  <m:r>
                    <m:t>R</m:t>
                  </m:r>
                </m:e>
                <m:sub>
                  <m:r>
                    <m:t>ω</m:t>
                  </m:r>
                </m:sub>
              </m:sSub>
            </m:oMath>
          </w:p>
        </w:tc>
        <w:tc>
          <w:tcPr/>
          <w:p>
            <w:pPr>
              <w:pStyle w:val="Compact"/>
              <w:jc w:val="left"/>
            </w:pPr>
            <w:r>
              <w:t xml:space="preserve">This parameter is not directly measured but will be used to roughly estimate</w:t>
            </w:r>
            <w:r>
              <w:t xml:space="preserve"> </w:t>
            </w:r>
            <m:oMath>
              <m:sSub>
                <m:e>
                  <m:r>
                    <m:t>R</m:t>
                  </m:r>
                </m:e>
                <m:sub>
                  <m:r>
                    <m:t>ω</m:t>
                  </m:r>
                </m:sub>
              </m:sSub>
            </m:oMath>
            <w:r>
              <w:t xml:space="preserve"> </w:t>
            </w:r>
            <w:r>
              <w:t xml:space="preserve">after it is screened by the Jha group</w:t>
            </w:r>
          </w:p>
        </w:tc>
        <w:tc>
          <w:tcPr/>
          <w:p>
            <w:pPr>
              <w:pStyle w:val="Compact"/>
            </w:pPr>
          </w:p>
        </w:tc>
        <w:tc>
          <w:tcPr/>
          <w:p>
            <w:pPr>
              <w:pStyle w:val="Compact"/>
            </w:pPr>
          </w:p>
        </w:tc>
      </w:tr>
    </w:tbl>
    <w:bookmarkEnd w:id="22"/>
    <w:bookmarkStart w:id="23" w:name="model-assumptions"/>
    <w:p>
      <w:pPr>
        <w:pStyle w:val="Heading3"/>
      </w:pPr>
      <w:r>
        <w:t xml:space="preserve">Model assumptions</w:t>
      </w:r>
    </w:p>
    <w:p>
      <w:pPr>
        <w:pStyle w:val="FirstParagraph"/>
      </w:pPr>
      <w:r>
        <w:t xml:space="preserve">Table 4.2 - Female-only population dynamics model assumptions for common waterhemp (</w:t>
      </w:r>
      <w:r>
        <w:rPr>
          <w:iCs/>
          <w:i/>
        </w:rPr>
        <w:t xml:space="preserve">Amaranthus tuberculatus</w:t>
      </w:r>
      <w:r>
        <w:t xml:space="preserve">)</w:t>
      </w:r>
    </w:p>
    <w:tbl>
      <w:tblPr>
        <w:tblStyle w:val="Table"/>
        <w:tblW w:type="pct" w:w="5000"/>
        <w:tblLook w:firstRow="1" w:lastRow="0" w:firstColumn="0" w:lastColumn="0" w:noHBand="0" w:noVBand="0" w:val="0020"/>
      </w:tblPr>
      <w:tblGrid>
        <w:gridCol w:w="2084"/>
        <w:gridCol w:w="2917"/>
        <w:gridCol w:w="2917"/>
      </w:tblGrid>
      <w:tr>
        <w:trPr>
          <w:tblHeader w:val="true"/>
        </w:trPr>
        <w:tc>
          <w:tcPr/>
          <w:p>
            <w:pPr>
              <w:pStyle w:val="Compact"/>
              <w:jc w:val="left"/>
            </w:pPr>
            <w:r>
              <w:rPr>
                <w:bCs/>
                <w:b/>
              </w:rPr>
              <w:t xml:space="preserve">Stage</w:t>
            </w:r>
          </w:p>
        </w:tc>
        <w:tc>
          <w:tcPr/>
          <w:p>
            <w:pPr>
              <w:pStyle w:val="Compact"/>
              <w:jc w:val="left"/>
            </w:pPr>
            <w:r>
              <w:rPr>
                <w:bCs/>
                <w:b/>
              </w:rPr>
              <w:t xml:space="preserve">Assumption</w:t>
            </w:r>
          </w:p>
        </w:tc>
        <w:tc>
          <w:tcPr/>
          <w:p>
            <w:pPr>
              <w:pStyle w:val="Compact"/>
              <w:jc w:val="left"/>
            </w:pPr>
            <w:r>
              <w:rPr>
                <w:bCs/>
                <w:b/>
              </w:rPr>
              <w:t xml:space="preserve">References</w:t>
            </w:r>
          </w:p>
        </w:tc>
      </w:tr>
      <w:tr>
        <w:tc>
          <w:tcPr/>
          <w:p>
            <w:pPr>
              <w:pStyle w:val="Compact"/>
              <w:jc w:val="left"/>
            </w:pPr>
            <w:r>
              <w:rPr>
                <w:iCs/>
                <w:i/>
              </w:rPr>
              <w:t xml:space="preserve">All</w:t>
            </w:r>
          </w:p>
        </w:tc>
        <w:tc>
          <w:tcPr/>
          <w:p>
            <w:pPr>
              <w:pStyle w:val="Compact"/>
              <w:jc w:val="left"/>
            </w:pPr>
            <w:r>
              <w:t xml:space="preserve">Sex is stable throughout the life cycle.</w:t>
            </w:r>
          </w:p>
        </w:tc>
        <w:tc>
          <w:tcPr/>
          <w:p>
            <w:pPr>
              <w:pStyle w:val="Compact"/>
              <w:jc w:val="left"/>
            </w:pPr>
            <w:r>
              <w:t xml:space="preserve">(</w:t>
            </w:r>
            <w:r>
              <w:rPr>
                <w:bCs/>
                <w:b/>
              </w:rPr>
              <w:t xml:space="preserve">schaffnerObservationsExperimentsSex1935?</w:t>
            </w:r>
            <w:r>
              <w:t xml:space="preserve">)</w:t>
            </w:r>
            <w:r>
              <w:t xml:space="preserve">;</w:t>
            </w:r>
            <w:r>
              <w:t xml:space="preserve"> </w:t>
            </w:r>
            <w:r>
              <w:t xml:space="preserve">(</w:t>
            </w:r>
            <w:r>
              <w:rPr>
                <w:bCs/>
                <w:b/>
              </w:rPr>
              <w:t xml:space="preserve">murrayGeneticsSexDetermination1940?</w:t>
            </w:r>
            <w:r>
              <w:t xml:space="preserve">)</w:t>
            </w:r>
          </w:p>
        </w:tc>
      </w:tr>
      <w:tr>
        <w:tc>
          <w:tcPr/>
          <w:p>
            <w:pPr>
              <w:pStyle w:val="Compact"/>
            </w:pPr>
          </w:p>
        </w:tc>
        <w:tc>
          <w:tcPr/>
          <w:p>
            <w:pPr>
              <w:pStyle w:val="Compact"/>
              <w:jc w:val="left"/>
            </w:pPr>
            <w:r>
              <w:t xml:space="preserve">Individuals (seeds and plants) are evenly distributed spatially.</w:t>
            </w:r>
          </w:p>
        </w:tc>
        <w:tc>
          <w:tcPr/>
          <w:p>
            <w:pPr>
              <w:pStyle w:val="Compact"/>
              <w:jc w:val="left"/>
            </w:pPr>
            <w:r>
              <w:t xml:space="preserve">Seeds and plant densities are grid-sampled, 6x2 clusters of 3 soil cores and 4x2 quadrats, along field length x width, for seeds and plants, respectively.</w:t>
            </w:r>
          </w:p>
        </w:tc>
      </w:tr>
      <w:tr>
        <w:tc>
          <w:tcPr/>
          <w:p>
            <w:pPr>
              <w:pStyle w:val="Compact"/>
            </w:pPr>
          </w:p>
        </w:tc>
        <w:tc>
          <w:tcPr/>
          <w:p>
            <w:pPr>
              <w:pStyle w:val="Compact"/>
              <w:jc w:val="left"/>
            </w:pPr>
            <w:r>
              <w:t xml:space="preserve">Equal growth rate across individuals of the same size and shape under the same treatments (crop x rotation x herbicide)</w:t>
            </w:r>
          </w:p>
        </w:tc>
        <w:tc>
          <w:tcPr/>
          <w:p>
            <w:pPr>
              <w:pStyle w:val="Compact"/>
              <w:jc w:val="left"/>
            </w:pPr>
            <w:r>
              <w:t xml:space="preserve">Chapter 8,</w:t>
            </w:r>
            <w:r>
              <w:t xml:space="preserve"> </w:t>
            </w:r>
            <w:r>
              <w:t xml:space="preserve">(</w:t>
            </w:r>
            <w:r>
              <w:rPr>
                <w:bCs/>
                <w:b/>
              </w:rPr>
              <w:t xml:space="preserve">caswellMatrixPopulationModels2001?</w:t>
            </w:r>
            <w:r>
              <w:t xml:space="preserve">)</w:t>
            </w:r>
          </w:p>
        </w:tc>
      </w:tr>
      <w:tr>
        <w:tc>
          <w:tcPr/>
          <w:p>
            <w:pPr>
              <w:pStyle w:val="Compact"/>
              <w:jc w:val="left"/>
            </w:pPr>
            <w:r>
              <w:rPr>
                <w:iCs/>
                <w:i/>
              </w:rPr>
              <w:t xml:space="preserve">Seed</w:t>
            </w:r>
          </w:p>
        </w:tc>
        <w:tc>
          <w:tcPr/>
          <w:p>
            <w:pPr>
              <w:pStyle w:val="Compact"/>
              <w:jc w:val="left"/>
            </w:pPr>
            <w:r>
              <w:t xml:space="preserve">Equal germination probability across sexes</w:t>
            </w:r>
          </w:p>
        </w:tc>
        <w:tc>
          <w:tcPr/>
          <w:p>
            <w:pPr>
              <w:pStyle w:val="Compact"/>
            </w:pPr>
          </w:p>
        </w:tc>
      </w:tr>
      <w:tr>
        <w:tc>
          <w:tcPr/>
          <w:p>
            <w:pPr>
              <w:pStyle w:val="Compact"/>
            </w:pPr>
          </w:p>
        </w:tc>
        <w:tc>
          <w:tcPr/>
          <w:p>
            <w:pPr>
              <w:pStyle w:val="Compact"/>
              <w:jc w:val="left"/>
            </w:pPr>
            <w:r>
              <w:t xml:space="preserve">The sex ratio is 1:1.</w:t>
            </w:r>
          </w:p>
        </w:tc>
        <w:tc>
          <w:tcPr/>
          <w:p>
            <w:pPr>
              <w:pStyle w:val="Compact"/>
              <w:jc w:val="left"/>
            </w:pPr>
            <w:r>
              <w:t xml:space="preserve">(</w:t>
            </w:r>
            <w:r>
              <w:rPr>
                <w:bCs/>
                <w:b/>
              </w:rPr>
              <w:t xml:space="preserve">costeaBiologyInvasiveAlien2005?</w:t>
            </w:r>
            <w:r>
              <w:t xml:space="preserve">)</w:t>
            </w:r>
          </w:p>
        </w:tc>
      </w:tr>
      <w:tr>
        <w:tc>
          <w:tcPr/>
          <w:p>
            <w:pPr>
              <w:pStyle w:val="Compact"/>
            </w:pPr>
          </w:p>
        </w:tc>
        <w:tc>
          <w:tcPr/>
          <w:p>
            <w:pPr>
              <w:pStyle w:val="Compact"/>
              <w:jc w:val="left"/>
            </w:pPr>
            <w:r>
              <w:t xml:space="preserve">Seeds only germinate from the 0-2cm soil layer</w:t>
            </w:r>
          </w:p>
        </w:tc>
        <w:tc>
          <w:tcPr/>
          <w:p>
            <w:pPr>
              <w:pStyle w:val="Compact"/>
              <w:jc w:val="left"/>
            </w:pPr>
            <w:r>
              <w:t xml:space="preserve">Deduced collectively from the recommended sowing depth of 1-3 times the seed diameter</w:t>
            </w:r>
            <w:r>
              <w:t xml:space="preserve"> </w:t>
            </w:r>
            <w:r>
              <w:t xml:space="preserve">(Chapter 3,</w:t>
            </w:r>
            <w:r>
              <w:t xml:space="preserve"> </w:t>
            </w:r>
            <w:r>
              <w:rPr>
                <w:bCs/>
                <w:b/>
              </w:rPr>
              <w:t xml:space="preserve">foodandagricultureorganizationoftheunitednationsAridZoneForestry1989?</w:t>
            </w:r>
            <w:r>
              <w:t xml:space="preserve">)</w:t>
            </w:r>
            <w:r>
              <w:t xml:space="preserve"> </w:t>
            </w:r>
            <w:r>
              <w:t xml:space="preserve">and AMATA seed size of 1 mm or less in diameter</w:t>
            </w:r>
            <w:r>
              <w:t xml:space="preserve"> </w:t>
            </w:r>
            <w:r>
              <w:t xml:space="preserve">(</w:t>
            </w:r>
            <w:r>
              <w:rPr>
                <w:bCs/>
                <w:b/>
              </w:rPr>
              <w:t xml:space="preserve">costeaBiologyInvasiveAlien2005?</w:t>
            </w:r>
            <w:r>
              <w:t xml:space="preserve">)</w:t>
            </w:r>
            <w:r>
              <w:t xml:space="preserve">.</w:t>
            </w:r>
          </w:p>
        </w:tc>
      </w:tr>
      <w:tr>
        <w:tc>
          <w:tcPr/>
          <w:p>
            <w:pPr>
              <w:pStyle w:val="Compact"/>
            </w:pPr>
          </w:p>
        </w:tc>
        <w:tc>
          <w:tcPr/>
          <w:p>
            <w:pPr>
              <w:pStyle w:val="Compact"/>
              <w:jc w:val="left"/>
            </w:pPr>
            <w:r>
              <w:t xml:space="preserve">Equal decay rate in the soil across sexes</w:t>
            </w:r>
          </w:p>
        </w:tc>
        <w:tc>
          <w:tcPr/>
          <w:p>
            <w:pPr>
              <w:pStyle w:val="Compact"/>
            </w:pPr>
          </w:p>
        </w:tc>
      </w:tr>
      <w:tr>
        <w:tc>
          <w:tcPr/>
          <w:p>
            <w:pPr>
              <w:pStyle w:val="Compact"/>
            </w:pPr>
          </w:p>
        </w:tc>
        <w:tc>
          <w:tcPr/>
          <w:p>
            <w:pPr>
              <w:pStyle w:val="Compact"/>
              <w:jc w:val="left"/>
            </w:pPr>
            <w:r>
              <w:t xml:space="preserve">Equal decay rate across all burial depths</w:t>
            </w:r>
          </w:p>
        </w:tc>
        <w:tc>
          <w:tcPr/>
          <w:p>
            <w:pPr>
              <w:pStyle w:val="Compact"/>
              <w:jc w:val="left"/>
            </w:pPr>
            <w:r>
              <w:t xml:space="preserve">(</w:t>
            </w:r>
            <w:r>
              <w:rPr>
                <w:bCs/>
                <w:b/>
              </w:rPr>
              <w:t xml:space="preserve">buhlerEmergencePersistenceSeed2001a?</w:t>
            </w:r>
            <w:r>
              <w:t xml:space="preserve">)</w:t>
            </w:r>
            <w:r>
              <w:t xml:space="preserve">,</w:t>
            </w:r>
            <w:r>
              <w:t xml:space="preserve"> </w:t>
            </w:r>
            <w:r>
              <w:t xml:space="preserve">(</w:t>
            </w:r>
            <w:r>
              <w:rPr>
                <w:bCs/>
                <w:b/>
              </w:rPr>
              <w:t xml:space="preserve">steckelTillageCroppingSystem2007?</w:t>
            </w:r>
            <w:r>
              <w:t xml:space="preserve">)</w:t>
            </w:r>
          </w:p>
        </w:tc>
      </w:tr>
      <w:tr>
        <w:tc>
          <w:tcPr/>
          <w:p>
            <w:pPr>
              <w:pStyle w:val="Compact"/>
            </w:pPr>
          </w:p>
        </w:tc>
        <w:tc>
          <w:tcPr/>
          <w:p>
            <w:pPr>
              <w:pStyle w:val="Compact"/>
              <w:jc w:val="left"/>
            </w:pPr>
            <w:r>
              <w:t xml:space="preserve">Equal palatability to granivores across sexes</w:t>
            </w:r>
          </w:p>
        </w:tc>
        <w:tc>
          <w:tcPr/>
          <w:p>
            <w:pPr>
              <w:pStyle w:val="Compact"/>
            </w:pPr>
          </w:p>
        </w:tc>
      </w:tr>
      <w:tr>
        <w:tc>
          <w:tcPr/>
          <w:p>
            <w:pPr>
              <w:pStyle w:val="Compact"/>
            </w:pPr>
          </w:p>
        </w:tc>
        <w:tc>
          <w:tcPr/>
          <w:p>
            <w:pPr>
              <w:pStyle w:val="Compact"/>
              <w:jc w:val="left"/>
            </w:pPr>
            <w:r>
              <w:t xml:space="preserve">Granivore activities are an important threat.</w:t>
            </w:r>
          </w:p>
        </w:tc>
        <w:tc>
          <w:tcPr/>
          <w:p>
            <w:pPr>
              <w:pStyle w:val="Compact"/>
              <w:jc w:val="left"/>
            </w:pPr>
            <w:r>
              <w:t xml:space="preserve">(</w:t>
            </w:r>
            <w:r>
              <w:rPr>
                <w:bCs/>
                <w:b/>
              </w:rPr>
              <w:t xml:space="preserve">vanderlaatPostdispersalWeedSeed2015?</w:t>
            </w:r>
            <w:r>
              <w:t xml:space="preserve">)</w:t>
            </w:r>
          </w:p>
        </w:tc>
      </w:tr>
      <w:tr>
        <w:tc>
          <w:tcPr/>
          <w:p>
            <w:pPr>
              <w:pStyle w:val="Compact"/>
              <w:jc w:val="left"/>
            </w:pPr>
            <w:r>
              <w:rPr>
                <w:iCs/>
                <w:i/>
              </w:rPr>
              <w:t xml:space="preserve">Young plant</w:t>
            </w:r>
          </w:p>
        </w:tc>
        <w:tc>
          <w:tcPr/>
          <w:p>
            <w:pPr>
              <w:pStyle w:val="Compact"/>
              <w:jc w:val="left"/>
            </w:pPr>
            <w:r>
              <w:t xml:space="preserve">Female plants are more likely to survive under stressful conditions than male plants.</w:t>
            </w:r>
          </w:p>
        </w:tc>
        <w:tc>
          <w:tcPr/>
          <w:p>
            <w:pPr>
              <w:pStyle w:val="Compact"/>
              <w:jc w:val="left"/>
            </w:pPr>
            <w:r>
              <w:t xml:space="preserve">Deduced collectively from the general 1:1 sex ratio</w:t>
            </w:r>
            <w:r>
              <w:t xml:space="preserve"> </w:t>
            </w:r>
            <w:r>
              <w:t xml:space="preserve">(</w:t>
            </w:r>
            <w:r>
              <w:rPr>
                <w:bCs/>
                <w:b/>
              </w:rPr>
              <w:t xml:space="preserve">costeaBiologyInvasiveAlien2005?</w:t>
            </w:r>
            <w:r>
              <w:t xml:space="preserve">)</w:t>
            </w:r>
            <w:r>
              <w:t xml:space="preserve"> </w:t>
            </w:r>
            <w:r>
              <w:t xml:space="preserve">and differentiated sex ratio at maturity across weed management systems at the experiment site in 2018.</w:t>
            </w:r>
          </w:p>
        </w:tc>
      </w:tr>
      <w:tr>
        <w:tc>
          <w:tcPr/>
          <w:p>
            <w:pPr>
              <w:pStyle w:val="Compact"/>
            </w:pPr>
          </w:p>
        </w:tc>
        <w:tc>
          <w:tcPr/>
          <w:p>
            <w:pPr>
              <w:pStyle w:val="Compact"/>
              <w:jc w:val="left"/>
            </w:pPr>
            <w:r>
              <w:t xml:space="preserve">Crops are the main competitors for resources.</w:t>
            </w:r>
          </w:p>
        </w:tc>
        <w:tc>
          <w:tcPr/>
          <w:p>
            <w:pPr>
              <w:pStyle w:val="Compact"/>
              <w:jc w:val="left"/>
            </w:pPr>
            <w:r>
              <w:t xml:space="preserve">Deduced from weeds being effectively suppressed under contrasting cropping systems at the experiment site</w:t>
            </w:r>
            <w:r>
              <w:t xml:space="preserve"> </w:t>
            </w:r>
            <w:r>
              <w:t xml:space="preserve">(</w:t>
            </w:r>
            <w:r>
              <w:rPr>
                <w:bCs/>
                <w:b/>
              </w:rPr>
              <w:t xml:space="preserve">huntReducingFreshwaterToxicity2017?</w:t>
            </w:r>
            <w:r>
              <w:t xml:space="preserve">)</w:t>
            </w:r>
            <w:r>
              <w:t xml:space="preserve">.</w:t>
            </w:r>
          </w:p>
        </w:tc>
      </w:tr>
      <w:tr>
        <w:tc>
          <w:tcPr/>
          <w:p>
            <w:pPr>
              <w:pStyle w:val="Compact"/>
            </w:pPr>
          </w:p>
        </w:tc>
        <w:tc>
          <w:tcPr/>
          <w:p>
            <w:pPr>
              <w:pStyle w:val="Compact"/>
              <w:jc w:val="left"/>
            </w:pPr>
            <w:r>
              <w:t xml:space="preserve">Competition with other weeds and intraspecific competition is neglected.</w:t>
            </w:r>
          </w:p>
        </w:tc>
        <w:tc>
          <w:tcPr/>
          <w:p>
            <w:pPr>
              <w:pStyle w:val="Compact"/>
            </w:pPr>
          </w:p>
        </w:tc>
      </w:tr>
      <w:tr>
        <w:tc>
          <w:tcPr/>
          <w:p>
            <w:pPr>
              <w:pStyle w:val="Compact"/>
            </w:pPr>
          </w:p>
        </w:tc>
        <w:tc>
          <w:tcPr/>
          <w:p>
            <w:pPr>
              <w:pStyle w:val="Compact"/>
              <w:jc w:val="left"/>
            </w:pPr>
            <w:r>
              <w:t xml:space="preserve">The weed control program is the main cause of mortality.</w:t>
            </w:r>
          </w:p>
        </w:tc>
        <w:tc>
          <w:tcPr/>
          <w:p>
            <w:pPr>
              <w:pStyle w:val="Compact"/>
              <w:jc w:val="left"/>
            </w:pPr>
            <w:r>
              <w:t xml:space="preserve">(</w:t>
            </w:r>
            <w:r>
              <w:rPr>
                <w:bCs/>
                <w:b/>
              </w:rPr>
              <w:t xml:space="preserve">huntReducingFreshwaterToxicity2017?</w:t>
            </w:r>
            <w:r>
              <w:t xml:space="preserve">)</w:t>
            </w:r>
          </w:p>
        </w:tc>
      </w:tr>
      <w:tr>
        <w:tc>
          <w:tcPr/>
          <w:p>
            <w:pPr>
              <w:pStyle w:val="Compact"/>
              <w:jc w:val="left"/>
            </w:pPr>
            <w:r>
              <w:rPr>
                <w:iCs/>
                <w:i/>
              </w:rPr>
              <w:t xml:space="preserve">Mature plant</w:t>
            </w:r>
          </w:p>
        </w:tc>
        <w:tc>
          <w:tcPr/>
          <w:p>
            <w:pPr>
              <w:pStyle w:val="Compact"/>
              <w:jc w:val="left"/>
            </w:pPr>
            <w:r>
              <w:t xml:space="preserve">Pollen source is unlimited due to (i) the longevity and mobility of pollen grains and (ii) average plant density at the experiment site.</w:t>
            </w:r>
          </w:p>
        </w:tc>
        <w:tc>
          <w:tcPr/>
          <w:p>
            <w:pPr>
              <w:pStyle w:val="Compact"/>
              <w:jc w:val="left"/>
            </w:pPr>
            <w:r>
              <w:t xml:space="preserve">(</w:t>
            </w:r>
            <w:r>
              <w:rPr>
                <w:bCs/>
                <w:b/>
              </w:rPr>
              <w:t xml:space="preserve">liuPollenBiologyDispersal2012?</w:t>
            </w:r>
            <w:r>
              <w:t xml:space="preserve">)</w:t>
            </w:r>
            <w:r>
              <w:t xml:space="preserve"> </w:t>
            </w:r>
            <w:r>
              <w:t xml:space="preserve">and personal observation</w:t>
            </w:r>
          </w:p>
        </w:tc>
      </w:tr>
      <w:tr>
        <w:tc>
          <w:tcPr/>
          <w:p>
            <w:pPr>
              <w:pStyle w:val="Compact"/>
            </w:pPr>
          </w:p>
        </w:tc>
        <w:tc>
          <w:tcPr/>
          <w:p>
            <w:pPr>
              <w:pStyle w:val="Compact"/>
              <w:jc w:val="left"/>
            </w:pPr>
            <w:r>
              <w:t xml:space="preserve">50% of the seeds produced by each female plant are female.</w:t>
            </w:r>
          </w:p>
        </w:tc>
        <w:tc>
          <w:tcPr/>
          <w:p>
            <w:pPr>
              <w:pStyle w:val="Compact"/>
              <w:jc w:val="left"/>
            </w:pPr>
            <w:r>
              <w:t xml:space="preserve">(</w:t>
            </w:r>
            <w:r>
              <w:rPr>
                <w:bCs/>
                <w:b/>
              </w:rPr>
              <w:t xml:space="preserve">costeaBiologyInvasiveAlien2005?</w:t>
            </w:r>
            <w:r>
              <w:t xml:space="preserve">)</w:t>
            </w:r>
          </w:p>
        </w:tc>
      </w:tr>
      <w:tr>
        <w:tc>
          <w:tcPr/>
          <w:p>
            <w:pPr>
              <w:pStyle w:val="Compact"/>
            </w:pPr>
          </w:p>
        </w:tc>
        <w:tc>
          <w:tcPr/>
          <w:p>
            <w:pPr>
              <w:pStyle w:val="Compact"/>
              <w:jc w:val="left"/>
            </w:pPr>
            <w:r>
              <w:t xml:space="preserve">Male : female ratio can deviate from 1:1 ratio under different conditions: (i) more males than females observed at the experiment site when composted swine manure was applied (ii) 5 to 10 females per 1 male in a low-density population in Ohio.</w:t>
            </w:r>
          </w:p>
        </w:tc>
        <w:tc>
          <w:tcPr/>
          <w:p>
            <w:pPr>
              <w:pStyle w:val="Compact"/>
              <w:jc w:val="left"/>
            </w:pPr>
            <w:r>
              <w:t xml:space="preserve">(</w:t>
            </w:r>
            <w:r>
              <w:rPr>
                <w:bCs/>
                <w:b/>
              </w:rPr>
              <w:t xml:space="preserve">menalledImpactCompostedSwine2004?</w:t>
            </w:r>
            <w:r>
              <w:t xml:space="preserve">)</w:t>
            </w:r>
            <w:r>
              <w:t xml:space="preserve">;</w:t>
            </w:r>
            <w:r>
              <w:t xml:space="preserve"> </w:t>
            </w:r>
            <w:r>
              <w:t xml:space="preserve">(</w:t>
            </w:r>
            <w:r>
              <w:rPr>
                <w:bCs/>
                <w:b/>
              </w:rPr>
              <w:t xml:space="preserve">prattAmaranthusRudisTuberculatus2001?</w:t>
            </w:r>
            <w:r>
              <w:t xml:space="preserve">)</w:t>
            </w:r>
          </w:p>
        </w:tc>
      </w:tr>
      <w:tr>
        <w:tc>
          <w:tcPr/>
          <w:p>
            <w:pPr>
              <w:pStyle w:val="Compact"/>
            </w:pPr>
          </w:p>
        </w:tc>
        <w:tc>
          <w:tcPr/>
          <w:p>
            <w:pPr>
              <w:pStyle w:val="Compact"/>
              <w:jc w:val="left"/>
            </w:pPr>
            <w:r>
              <w:t xml:space="preserve">Genetic material exchange is more likely to occur within 0 to 50 meters around the pollen source.</w:t>
            </w:r>
          </w:p>
        </w:tc>
        <w:tc>
          <w:tcPr/>
          <w:p>
            <w:pPr>
              <w:pStyle w:val="Compact"/>
              <w:jc w:val="left"/>
            </w:pPr>
            <w:r>
              <w:t xml:space="preserve">(</w:t>
            </w:r>
            <w:r>
              <w:rPr>
                <w:bCs/>
                <w:b/>
              </w:rPr>
              <w:t xml:space="preserve">sarangiPollenmediatedGeneFlow2017?</w:t>
            </w:r>
            <w:r>
              <w:t xml:space="preserve">)</w:t>
            </w:r>
            <w:r>
              <w:t xml:space="preserve">;</w:t>
            </w:r>
            <w:r>
              <w:t xml:space="preserve"> </w:t>
            </w:r>
            <w:r>
              <w:t xml:space="preserve">(</w:t>
            </w:r>
            <w:r>
              <w:rPr>
                <w:bCs/>
                <w:b/>
              </w:rPr>
              <w:t xml:space="preserve">liuPollenBiologyDispersal2012?</w:t>
            </w:r>
            <w:r>
              <w:t xml:space="preserve">)</w:t>
            </w:r>
          </w:p>
        </w:tc>
      </w:tr>
      <w:tr>
        <w:tc>
          <w:tcPr/>
          <w:p>
            <w:pPr>
              <w:pStyle w:val="Compact"/>
            </w:pPr>
          </w:p>
        </w:tc>
        <w:tc>
          <w:tcPr/>
          <w:p>
            <w:pPr>
              <w:pStyle w:val="Compact"/>
              <w:jc w:val="left"/>
            </w:pPr>
            <w:r>
              <w:t xml:space="preserve">Fitness cost is negligible in populations with resistance to atrazine, protoporphyrinogen oxidase inhibitors, 4‐hydroxyphenylpryuvate dioxygenase inhibitors or glyphosate.</w:t>
            </w:r>
          </w:p>
        </w:tc>
        <w:tc>
          <w:tcPr/>
          <w:p>
            <w:pPr>
              <w:pStyle w:val="Compact"/>
              <w:jc w:val="left"/>
            </w:pPr>
            <w:r>
              <w:t xml:space="preserve">(</w:t>
            </w:r>
            <w:r>
              <w:rPr>
                <w:bCs/>
                <w:b/>
              </w:rPr>
              <w:t xml:space="preserve">wuLimitedFitnessCosts2018?</w:t>
            </w:r>
            <w:r>
              <w:t xml:space="preserve">)</w:t>
            </w:r>
          </w:p>
        </w:tc>
      </w:tr>
    </w:tbl>
    <w:bookmarkEnd w:id="23"/>
    <w:bookmarkStart w:id="24" w:name="population-vector"/>
    <w:p>
      <w:pPr>
        <w:pStyle w:val="Heading3"/>
      </w:pPr>
      <w:r>
        <w:t xml:space="preserve">Population vector</w:t>
      </w:r>
    </w:p>
    <w:p>
      <w:pPr>
        <w:pStyle w:val="FirstParagraph"/>
      </w:pPr>
      <w:r>
        <w:t xml:space="preserve">The population vector includes numbers of female individuals in different stage-position classes.</w:t>
      </w:r>
    </w:p>
    <w:p>
      <w:pPr>
        <w:pStyle w:val="BodyText"/>
      </w:pPr>
      <m:oMathPara>
        <m:oMathParaPr>
          <m:jc m:val="center"/>
        </m:oMathParaPr>
        <m:oMath>
          <m:r>
            <m:t>N</m:t>
          </m:r>
          <m:r>
            <m:rPr>
              <m:sty m:val="p"/>
            </m:rPr>
            <m:t>=</m:t>
          </m:r>
          <m:d>
            <m:dPr>
              <m:begChr m:val="["/>
              <m:endChr m:val="]"/>
              <m:sepChr m:val=""/>
              <m:grow/>
            </m:dPr>
            <m:e>
              <m:m>
                <m:mPr>
                  <m:baseJc m:val="center"/>
                  <m:plcHide m:val="1"/>
                  <m:mcs>
                    <m:mc>
                      <m:mcPr>
                        <m:mcJc m:val="right"/>
                        <m:count m:val="1"/>
                      </m:mcPr>
                    </m:mc>
                  </m:mcs>
                </m:mPr>
                <m:mr>
                  <m:e>
                    <m:sSub>
                      <m:e>
                        <m:r>
                          <m:t>N</m:t>
                        </m:r>
                      </m:e>
                      <m:sub>
                        <m:sSub>
                          <m:e>
                            <m:r>
                              <m:t>s</m:t>
                            </m:r>
                          </m:e>
                          <m:sub>
                            <m:r>
                              <m:t>1</m:t>
                            </m:r>
                          </m:sub>
                        </m:sSub>
                      </m:sub>
                    </m:sSub>
                  </m:e>
                </m:mr>
                <m:mr>
                  <m:e>
                    <m:sSub>
                      <m:e>
                        <m:r>
                          <m:t>N</m:t>
                        </m:r>
                      </m:e>
                      <m:sub>
                        <m:sSub>
                          <m:e>
                            <m:r>
                              <m:t>s</m:t>
                            </m:r>
                          </m:e>
                          <m:sub>
                            <m:r>
                              <m:t>2</m:t>
                            </m:r>
                          </m:sub>
                        </m:sSub>
                      </m:sub>
                    </m:sSub>
                  </m:e>
                </m:mr>
                <m:mr>
                  <m:e>
                    <m:sSub>
                      <m:e>
                        <m:r>
                          <m:t>N</m:t>
                        </m:r>
                      </m:e>
                      <m:sub>
                        <m:sSub>
                          <m:e>
                            <m:r>
                              <m:t>p</m:t>
                            </m:r>
                          </m:e>
                          <m:sub>
                            <m:r>
                              <m:t>1</m:t>
                            </m:r>
                          </m:sub>
                        </m:sSub>
                      </m:sub>
                    </m:sSub>
                  </m:e>
                </m:mr>
                <m:mr>
                  <m:e>
                    <m:r>
                      <m:rPr>
                        <m:sty m:val="p"/>
                      </m:rPr>
                      <m:t>.</m:t>
                    </m:r>
                    <m:r>
                      <m:rPr>
                        <m:sty m:val="p"/>
                      </m:rPr>
                      <m:t>.</m:t>
                    </m:r>
                    <m:r>
                      <m:rPr>
                        <m:sty m:val="p"/>
                      </m:rPr>
                      <m:t>.</m:t>
                    </m:r>
                  </m:e>
                </m:mr>
                <m:mr>
                  <m:e>
                    <m:sSub>
                      <m:e>
                        <m:r>
                          <m:t>N</m:t>
                        </m:r>
                      </m:e>
                      <m:sub>
                        <m:sSub>
                          <m:e>
                            <m:r>
                              <m:t>p</m:t>
                            </m:r>
                          </m:e>
                          <m:sub>
                            <m:r>
                              <m:t>6</m:t>
                            </m:r>
                          </m:sub>
                        </m:sSub>
                      </m:sub>
                    </m:sSub>
                  </m:e>
                </m:mr>
              </m:m>
            </m:e>
          </m:d>
        </m:oMath>
      </m:oMathPara>
    </w:p>
    <w:p>
      <w:pPr>
        <w:pStyle w:val="FirstParagraph"/>
      </w:pPr>
      <w:r>
        <w:t xml:space="preserve">Collective seedbank density and age-specific seedbank density at the soil surface and buried are currently unavailable, so I have to assign seedbank vertical distribution based on the historical tillage regime.</w:t>
      </w:r>
    </w:p>
    <w:p>
      <w:pPr>
        <w:pStyle w:val="BodyText"/>
      </w:pPr>
      <w:r>
        <w:t xml:space="preserve">I assume that seeds distribute evenly within each stratum.</w:t>
      </w:r>
      <w:r>
        <w:t xml:space="preserve"> </w:t>
      </w:r>
      <w:r>
        <w:t xml:space="preserve">At the moment, the initial vertical distribution of seeds in the soil is established under the following grounds, based on</w:t>
      </w:r>
      <w:r>
        <w:t xml:space="preserve"> </w:t>
      </w:r>
      <w:r>
        <w:t xml:space="preserve">(</w:t>
      </w:r>
      <w:r>
        <w:rPr>
          <w:bCs/>
          <w:b/>
        </w:rPr>
        <w:t xml:space="preserve">yenishEffectsTillageVertical1992?</w:t>
      </w:r>
      <w:r>
        <w:t xml:space="preserve">)</w:t>
      </w:r>
      <w:r>
        <w:t xml:space="preserve"> </w:t>
      </w:r>
      <w:r>
        <w:t xml:space="preserve">findings:</w:t>
      </w:r>
      <w:r>
        <w:br/>
      </w:r>
      <w:r>
        <w:t xml:space="preserve">(i) seeds distribute evenly from 0 to 20 cm soil depths under moldboard tillage;</w:t>
      </w:r>
      <w:r>
        <w:br/>
      </w:r>
      <w:r>
        <w:t xml:space="preserve">(ii) 30% of seeds are at the top stratum and the rest at the bottom stratum under chisel tillage</w:t>
      </w:r>
      <w:r>
        <w:t xml:space="preserve"> </w:t>
      </w:r>
      <w:r>
        <w:t xml:space="preserve">(</w:t>
      </w:r>
      <w:r>
        <w:rPr>
          <w:bCs/>
          <w:b/>
        </w:rPr>
        <w:t xml:space="preserve">yenishEffectsTillageVertical1992?</w:t>
      </w:r>
      <w:r>
        <w:t xml:space="preserve">)</w:t>
      </w:r>
      <w:r>
        <w:t xml:space="preserve">; and</w:t>
      </w:r>
      <w:r>
        <w:br/>
      </w:r>
      <w:r>
        <w:t xml:space="preserve">(iii) 60% of seeds are at the top stratum and the rest at the bottom stratum under notill management</w:t>
      </w:r>
      <w:r>
        <w:t xml:space="preserve"> </w:t>
      </w:r>
      <w:r>
        <w:t xml:space="preserve">(</w:t>
      </w:r>
      <w:r>
        <w:rPr>
          <w:bCs/>
          <w:b/>
        </w:rPr>
        <w:t xml:space="preserve">yenishEffectsTillageVertical1992?</w:t>
      </w:r>
      <w:r>
        <w:t xml:space="preserve">)</w:t>
      </w:r>
      <w:r>
        <w:t xml:space="preserve">.</w:t>
      </w:r>
    </w:p>
    <w:p>
      <w:pPr>
        <w:pStyle w:val="BodyText"/>
      </w:pPr>
      <w:r>
        <w:t xml:space="preserve">Those numbers were used to estimate the 2019 surface seed density from the total seed density, that was averaged from 2014 to 2017 soil seedbank surveys and then used to calculate the seedling emergence rate (</w:t>
      </w:r>
      <m:oMath>
        <m:sSub>
          <m:e>
            <m:r>
              <m:t>e</m:t>
            </m:r>
          </m:e>
          <m:sub>
            <m:r>
              <m:t>i</m:t>
            </m:r>
          </m:sub>
        </m:sSub>
      </m:oMath>
      <w:r>
        <w:t xml:space="preserve"> </w:t>
      </w:r>
      <w:r>
        <w:t xml:space="preserve">in Table 4.1).</w:t>
      </w:r>
      <w:r>
        <w:t xml:space="preserve"> </w:t>
      </w:r>
      <w:r>
        <w:t xml:space="preserve">On a side note, seedbank density from 0 to 20 cm depth was unavailable for the 2018 field season due to adverse fall weather conditions.</w:t>
      </w:r>
      <w:r>
        <w:br/>
      </w:r>
      <w:r>
        <w:t xml:space="preserve">The formula for seedling emergence is</w:t>
      </w:r>
      <w:r>
        <w:br/>
      </w:r>
    </w:p>
    <w:p>
      <w:pPr>
        <w:pStyle w:val="BodyText"/>
      </w:pPr>
      <m:oMathPara>
        <m:oMathParaPr>
          <m:jc m:val="center"/>
        </m:oMathParaPr>
        <m:oMath>
          <m:sSub>
            <m:e>
              <m:r>
                <m:t>e</m:t>
              </m:r>
            </m:e>
            <m:sub>
              <m:r>
                <m:t>i</m:t>
              </m:r>
            </m:sub>
          </m:sSub>
          <m:r>
            <m:rPr>
              <m:sty m:val="p"/>
            </m:rPr>
            <m:t>=</m:t>
          </m:r>
          <m:f>
            <m:fPr>
              <m:type m:val="bar"/>
            </m:fPr>
            <m:num>
              <m:sSub>
                <m:e>
                  <m:r>
                    <m:t>N</m:t>
                  </m:r>
                </m:e>
                <m:sub>
                  <m:sSub>
                    <m:e>
                      <m:r>
                        <m:t>p</m:t>
                      </m:r>
                    </m:e>
                    <m:sub>
                      <m:r>
                        <m:t>i</m:t>
                      </m:r>
                    </m:sub>
                  </m:sSub>
                </m:sub>
              </m:sSub>
            </m:num>
            <m:den>
              <m:sSub>
                <m:e>
                  <m:r>
                    <m:t>N</m:t>
                  </m:r>
                </m:e>
                <m:sub>
                  <m:sSub>
                    <m:e>
                      <m:r>
                        <m:t>s</m:t>
                      </m:r>
                    </m:e>
                    <m:sub>
                      <m:r>
                        <m:t>1</m:t>
                      </m:r>
                    </m:sub>
                  </m:sSub>
                </m:sub>
              </m:sSub>
            </m:den>
          </m:f>
          <m:r>
            <m:t> </m:t>
          </m:r>
          <m:r>
            <m:t> </m:t>
          </m:r>
          <m:r>
            <m:t> </m:t>
          </m:r>
          <m:r>
            <m:t> </m:t>
          </m:r>
          <m:d>
            <m:dPr>
              <m:begChr m:val="["/>
              <m:endChr m:val="]"/>
              <m:sepChr m:val=""/>
              <m:grow/>
            </m:dPr>
            <m:e>
              <m:r>
                <m:t>1</m:t>
              </m:r>
            </m:e>
          </m:d>
        </m:oMath>
      </m:oMathPara>
    </w:p>
    <w:p>
      <w:pPr>
        <w:pStyle w:val="FirstParagraph"/>
      </w:pPr>
      <w:r>
        <w:br/>
      </w:r>
      <w:r>
        <w:t xml:space="preserve">where,</w:t>
      </w:r>
    </w:p>
    <w:p>
      <w:pPr>
        <w:pStyle w:val="BodyText"/>
      </w:pPr>
      <m:oMath>
        <m:sSub>
          <m:e>
            <m:r>
              <m:t>N</m:t>
            </m:r>
          </m:e>
          <m:sub>
            <m:sSub>
              <m:e>
                <m:r>
                  <m:t>s</m:t>
                </m:r>
              </m:e>
              <m:sub>
                <m:r>
                  <m:t>1</m:t>
                </m:r>
              </m:sub>
            </m:sSub>
          </m:sub>
        </m:sSub>
      </m:oMath>
      <w:r>
        <w:t xml:space="preserve"> </w:t>
      </w:r>
      <w:r>
        <w:t xml:space="preserve">is viable seed density at the top stratum,</w:t>
      </w:r>
      <w:r>
        <w:br/>
      </w:r>
      <m:oMath>
        <m:sSub>
          <m:e>
            <m:r>
              <m:t>N</m:t>
            </m:r>
          </m:e>
          <m:sub>
            <m:sSub>
              <m:e>
                <m:r>
                  <m:t>p</m:t>
                </m:r>
              </m:e>
              <m:sub>
                <m:r>
                  <m:t>i</m:t>
                </m:r>
              </m:sub>
            </m:sSub>
          </m:sub>
        </m:sSub>
      </m:oMath>
      <w:r>
        <w:t xml:space="preserve"> </w:t>
      </w:r>
      <w:r>
        <w:t xml:space="preserve">are plant densities at cohort</w:t>
      </w:r>
      <w:r>
        <w:t xml:space="preserve"> </w:t>
      </w:r>
      <m:oMath>
        <m:sSup>
          <m:e>
            <m:r>
              <m:t>i</m:t>
            </m:r>
          </m:e>
          <m:sup>
            <m:r>
              <m:t>t</m:t>
            </m:r>
            <m:r>
              <m:t>h</m:t>
            </m:r>
          </m:sup>
        </m:sSup>
      </m:oMath>
      <w:r>
        <w:t xml:space="preserve">,</w:t>
      </w:r>
      <w:r>
        <w:t xml:space="preserve"> </w:t>
      </w:r>
      <m:oMath>
        <m:r>
          <m:t>i</m:t>
        </m:r>
        <m:r>
          <m:rPr>
            <m:sty m:val="p"/>
          </m:rPr>
          <m:t>=</m:t>
        </m:r>
        <m:r>
          <m:rPr>
            <m:sty m:val="p"/>
          </m:rPr>
          <m:t>{</m:t>
        </m:r>
        <m:r>
          <m:t>1</m:t>
        </m:r>
        <m:r>
          <m:rPr>
            <m:sty m:val="p"/>
          </m:rPr>
          <m:t>,</m:t>
        </m:r>
        <m:r>
          <m:rPr>
            <m:sty m:val="p"/>
          </m:rPr>
          <m:t>.</m:t>
        </m:r>
        <m:r>
          <m:rPr>
            <m:sty m:val="p"/>
          </m:rPr>
          <m:t>.</m:t>
        </m:r>
        <m:r>
          <m:rPr>
            <m:sty m:val="p"/>
          </m:rPr>
          <m:t>.</m:t>
        </m:r>
        <m:r>
          <m:rPr>
            <m:sty m:val="p"/>
          </m:rPr>
          <m:t>,</m:t>
        </m:r>
        <m:r>
          <m:t>6</m:t>
        </m:r>
        <m:r>
          <m:rPr>
            <m:sty m:val="p"/>
          </m:rPr>
          <m:t>}</m:t>
        </m:r>
      </m:oMath>
      <w:r>
        <w:t xml:space="preserve">.</w:t>
      </w:r>
      <w:r>
        <w:br/>
      </w:r>
      <w:r>
        <w:t xml:space="preserve">This formula assumes that the probability that a viable seed emerges is the same regardless of its age.</w:t>
      </w:r>
      <w:r>
        <w:t xml:space="preserve"> </w:t>
      </w:r>
      <w:r>
        <w:rPr>
          <w:iCs/>
          <w:i/>
        </w:rPr>
        <w:t xml:space="preserve">More details are presented in the Overwintering section.</w:t>
      </w:r>
    </w:p>
    <w:p>
      <w:pPr>
        <w:pStyle w:val="BodyText"/>
      </w:pPr>
      <w:r>
        <w:t xml:space="preserve">One difficulty in calculating the initial seedbank vertical distribution vector is the low precision of soil seedbank density estimate.</w:t>
      </w:r>
      <w:r>
        <w:t xml:space="preserve"> </w:t>
      </w:r>
      <w:r>
        <w:t xml:space="preserve">Seedbank density estimation requires studying a large number of soil cores.</w:t>
      </w:r>
      <w:r>
        <w:t xml:space="preserve"> </w:t>
      </w:r>
      <w:r>
        <w:t xml:space="preserve">Four hundred soil cores are expected to be studied to achieve estimates of seedbank densities whose the standard error to mean ratio is 0.1,</w:t>
      </w:r>
      <w:r>
        <w:t xml:space="preserve"> </w:t>
      </w:r>
      <w:r>
        <w:t xml:space="preserve">(Equation 5, Dessaint et al. 1996)</w:t>
      </w:r>
      <w:r>
        <w:t xml:space="preserve"> </w:t>
      </w:r>
      <w:r>
        <w:t xml:space="preserve">while only 36 cores were studied at our experiment site.</w:t>
      </w:r>
      <w:r>
        <w:t xml:space="preserve"> </w:t>
      </w:r>
      <w:r>
        <w:t xml:space="preserve">Even though 36 cores were acceptable for whole-community seedbank estimation, more cores are needed for single species seedbank density.</w:t>
      </w:r>
      <w:r>
        <w:t xml:space="preserve"> </w:t>
      </w:r>
      <w:r>
        <w:t xml:space="preserve">Consequently,</w:t>
      </w:r>
      <w:r>
        <w:t xml:space="preserve"> </w:t>
      </w:r>
      <m:oMath>
        <m:sSub>
          <m:e>
            <m:r>
              <m:t>e</m:t>
            </m:r>
          </m:e>
          <m:sub>
            <m:r>
              <m:t>i</m:t>
            </m:r>
          </m:sub>
        </m:sSub>
      </m:oMath>
      <w:r>
        <w:t xml:space="preserve"> </w:t>
      </w:r>
      <w:r>
        <w:t xml:space="preserve">&gt; 1, which means the number of emerged seedlings is greater than the number of seeds that is present, was obtained frequently by using our current seedbank densities with the tillage-induced seedbank vertical redistribution matrices</w:t>
      </w:r>
      <w:r>
        <w:t xml:space="preserve"> </w:t>
      </w:r>
      <w:r>
        <w:t xml:space="preserve">(</w:t>
      </w:r>
      <w:r>
        <w:rPr>
          <w:bCs/>
          <w:b/>
        </w:rPr>
        <w:t xml:space="preserve">spokasSeedChaserVerticalSoil2007?</w:t>
      </w:r>
      <w:r>
        <w:t xml:space="preserve">)</w:t>
      </w:r>
      <w:r>
        <w:t xml:space="preserve"> </w:t>
      </w:r>
      <w:r>
        <w:t xml:space="preserve">and the overwintering survival rate</w:t>
      </w:r>
      <w:r>
        <w:t xml:space="preserve"> </w:t>
      </w:r>
      <w:r>
        <w:t xml:space="preserve">(</w:t>
      </w:r>
      <w:r>
        <w:rPr>
          <w:bCs/>
          <w:b/>
        </w:rPr>
        <w:t xml:space="preserve">yenishEffectsTillageVertical1992?</w:t>
      </w:r>
      <w:r>
        <w:t xml:space="preserve">;</w:t>
      </w:r>
      <w:r>
        <w:t xml:space="preserve"> </w:t>
      </w:r>
      <w:r>
        <w:rPr>
          <w:bCs/>
          <w:b/>
        </w:rPr>
        <w:t xml:space="preserve">buhlerEmergencePersistenceSeed2001a?</w:t>
      </w:r>
      <w:r>
        <w:t xml:space="preserve">;</w:t>
      </w:r>
      <w:r>
        <w:t xml:space="preserve"> </w:t>
      </w:r>
      <w:r>
        <w:rPr>
          <w:bCs/>
          <w:b/>
        </w:rPr>
        <w:t xml:space="preserve">steckelTillageCroppingSystem2007?</w:t>
      </w:r>
      <w:r>
        <w:t xml:space="preserve">)</w:t>
      </w:r>
      <w:r>
        <w:t xml:space="preserve">.</w:t>
      </w:r>
      <w:r>
        <w:br/>
      </w:r>
      <w:r>
        <w:t xml:space="preserve">A quick fix, for the model to function mechanically, was to calculate the average seedbank density by experiment unit and add the upper bounds of standard deviations to the means to use as the maximum seedbank densities.</w:t>
      </w:r>
      <w:r>
        <w:t xml:space="preserve"> </w:t>
      </w:r>
      <w:r>
        <w:t xml:space="preserve">This</w:t>
      </w:r>
      <w:r>
        <w:t xml:space="preserve"> </w:t>
      </w:r>
      <m:oMath>
        <m:sSub>
          <m:e>
            <m:r>
              <m:t>e</m:t>
            </m:r>
          </m:e>
          <m:sub>
            <m:r>
              <m:t>i</m:t>
            </m:r>
          </m:sub>
        </m:sSub>
      </m:oMath>
      <w:r>
        <w:t xml:space="preserve"> </w:t>
      </w:r>
      <w:r>
        <w:t xml:space="preserve">&gt; 1 error will be further addressed once the 2019 soil seedbank density at the top (0-2cm) and bottom (2-20cm) strata is available.</w:t>
      </w:r>
    </w:p>
    <w:bookmarkEnd w:id="24"/>
    <w:bookmarkStart w:id="34" w:name="transition-matrices"/>
    <w:p>
      <w:pPr>
        <w:pStyle w:val="Heading3"/>
      </w:pPr>
      <w:r>
        <w:t xml:space="preserve">Transition matrices</w:t>
      </w:r>
    </w:p>
    <w:p>
      <w:pPr>
        <w:pStyle w:val="FirstParagraph"/>
      </w:pPr>
      <w:r>
        <w:t xml:space="preserve">Each set of transition matrices is treatment-specific and is female only.</w:t>
      </w:r>
      <w:r>
        <w:t xml:space="preserve"> </w:t>
      </w:r>
      <w:r>
        <w:t xml:space="preserve">There are nine sets of transition matrices for 18 crop x rotation x herbicide treatments.</w:t>
      </w:r>
      <w:r>
        <w:t xml:space="preserve"> </w:t>
      </w:r>
      <w:r>
        <w:t xml:space="preserve">Each set contains five transition matrices, namely seedling establishment</w:t>
      </w:r>
      <w:r>
        <w:t xml:space="preserve"> </w:t>
      </w:r>
      <m:oMath>
        <m:sSub>
          <m:e>
            <m:r>
              <m:t>E</m:t>
            </m:r>
          </m:e>
          <m:sub>
            <m:r>
              <m:t>c</m:t>
            </m:r>
            <m:r>
              <m:rPr>
                <m:sty m:val="p"/>
              </m:rPr>
              <m:t>,</m:t>
            </m:r>
            <m:r>
              <m:t>r</m:t>
            </m:r>
            <m:r>
              <m:rPr>
                <m:sty m:val="p"/>
              </m:rPr>
              <m:t>,</m:t>
            </m:r>
            <m:r>
              <m:t>h</m:t>
            </m:r>
          </m:sub>
        </m:sSub>
      </m:oMath>
      <w:r>
        <w:t xml:space="preserve">,</w:t>
      </w:r>
      <w:r>
        <w:t xml:space="preserve"> </w:t>
      </w:r>
      <w:r>
        <w:t xml:space="preserve">survival of seedling to maturity and survival of non-germinated seed in the seedbank</w:t>
      </w:r>
      <w:r>
        <w:t xml:space="preserve"> </w:t>
      </w:r>
      <m:oMath>
        <m:sSub>
          <m:e>
            <m:r>
              <m:t>L</m:t>
            </m:r>
          </m:e>
          <m:sub>
            <m:r>
              <m:t>c</m:t>
            </m:r>
            <m:r>
              <m:rPr>
                <m:sty m:val="p"/>
              </m:rPr>
              <m:t>,</m:t>
            </m:r>
            <m:r>
              <m:t>r</m:t>
            </m:r>
            <m:r>
              <m:rPr>
                <m:sty m:val="p"/>
              </m:rPr>
              <m:t>,</m:t>
            </m:r>
            <m:r>
              <m:t>h</m:t>
            </m:r>
          </m:sub>
        </m:sSub>
      </m:oMath>
      <w:r>
        <w:t xml:space="preserve">,</w:t>
      </w:r>
      <w:r>
        <w:t xml:space="preserve"> </w:t>
      </w:r>
      <w:r>
        <w:t xml:space="preserve">fecundity</w:t>
      </w:r>
      <w:r>
        <w:t xml:space="preserve"> </w:t>
      </w:r>
      <m:oMath>
        <m:sSub>
          <m:e>
            <m:r>
              <m:t>F</m:t>
            </m:r>
          </m:e>
          <m:sub>
            <m:r>
              <m:t>c</m:t>
            </m:r>
            <m:r>
              <m:rPr>
                <m:sty m:val="p"/>
              </m:rPr>
              <m:t>,</m:t>
            </m:r>
            <m:r>
              <m:t>r</m:t>
            </m:r>
            <m:r>
              <m:rPr>
                <m:sty m:val="p"/>
              </m:rPr>
              <m:t>,</m:t>
            </m:r>
            <m:r>
              <m:t>h</m:t>
            </m:r>
          </m:sub>
        </m:sSub>
      </m:oMath>
      <w:r>
        <w:t xml:space="preserve">,</w:t>
      </w:r>
      <w:r>
        <w:t xml:space="preserve"> </w:t>
      </w:r>
      <w:r>
        <w:t xml:space="preserve">tillage</w:t>
      </w:r>
      <w:r>
        <w:t xml:space="preserve"> </w:t>
      </w:r>
      <m:oMath>
        <m:sSub>
          <m:e>
            <m:r>
              <m:t>T</m:t>
            </m:r>
          </m:e>
          <m:sub>
            <m:r>
              <m:t>c</m:t>
            </m:r>
            <m:r>
              <m:rPr>
                <m:sty m:val="p"/>
              </m:rPr>
              <m:t>,</m:t>
            </m:r>
            <m:r>
              <m:t>r</m:t>
            </m:r>
            <m:r>
              <m:rPr>
                <m:sty m:val="p"/>
              </m:rPr>
              <m:t>,</m:t>
            </m:r>
            <m:r>
              <m:t>h</m:t>
            </m:r>
          </m:sub>
        </m:sSub>
      </m:oMath>
      <w:r>
        <w:t xml:space="preserve">,</w:t>
      </w:r>
      <w:r>
        <w:t xml:space="preserve"> </w:t>
      </w:r>
      <w:r>
        <w:t xml:space="preserve">and overwinter survival</w:t>
      </w:r>
      <w:r>
        <w:t xml:space="preserve"> </w:t>
      </w:r>
      <m:oMath>
        <m:sSub>
          <m:e>
            <m:r>
              <m:t>O</m:t>
            </m:r>
          </m:e>
          <m:sub>
            <m:r>
              <m:t>c</m:t>
            </m:r>
            <m:r>
              <m:rPr>
                <m:sty m:val="p"/>
              </m:rPr>
              <m:t>,</m:t>
            </m:r>
            <m:r>
              <m:t>r</m:t>
            </m:r>
            <m:r>
              <m:rPr>
                <m:sty m:val="p"/>
              </m:rPr>
              <m:t>,</m:t>
            </m:r>
            <m:r>
              <m:t>h</m:t>
            </m:r>
          </m:sub>
        </m:sSub>
      </m:oMath>
      <w:r>
        <w:t xml:space="preserve">.</w:t>
      </w:r>
      <w:r>
        <w:br/>
      </w:r>
      <w:r>
        <w:t xml:space="preserve">Each transition matrix shown below is in its general form.</w:t>
      </w:r>
      <w:r>
        <w:t xml:space="preserve"> </w:t>
      </w:r>
      <w:r>
        <w:t xml:space="preserve">Detailed conditions are listed in Table 3.</w:t>
      </w:r>
      <w:r>
        <w:br/>
      </w:r>
      <w:r>
        <w:t xml:space="preserve">The aggregate population change, from germination to seed production, in each crop phase</w:t>
      </w:r>
      <w:r>
        <w:t xml:space="preserve"> </w:t>
      </w:r>
      <m:oMath>
        <m:sSub>
          <m:e>
            <m:r>
              <m:t>P</m:t>
            </m:r>
          </m:e>
          <m:sub>
            <m:r>
              <m:t>c</m:t>
            </m:r>
            <m:r>
              <m:rPr>
                <m:sty m:val="p"/>
              </m:rPr>
              <m:t>,</m:t>
            </m:r>
            <m:r>
              <m:t>r</m:t>
            </m:r>
            <m:r>
              <m:rPr>
                <m:sty m:val="p"/>
              </m:rPr>
              <m:t>,</m:t>
            </m:r>
            <m:r>
              <m:t>h</m:t>
            </m:r>
          </m:sub>
        </m:sSub>
      </m:oMath>
      <w:r>
        <w:t xml:space="preserve"> </w:t>
      </w:r>
      <w:r>
        <w:t xml:space="preserve">is the product of the five periodical transition matrices listed above,</w:t>
      </w:r>
      <w:r>
        <w:br/>
      </w:r>
    </w:p>
    <w:p>
      <w:pPr>
        <w:pStyle w:val="BodyText"/>
      </w:pPr>
      <m:oMathPara>
        <m:oMathParaPr>
          <m:jc m:val="center"/>
        </m:oMathParaPr>
        <m:oMath>
          <m:sSub>
            <m:e>
              <m:r>
                <m:t>P</m:t>
              </m:r>
            </m:e>
            <m:sub>
              <m:r>
                <m:t>c</m:t>
              </m:r>
              <m:r>
                <m:rPr>
                  <m:sty m:val="p"/>
                </m:rPr>
                <m:t>,</m:t>
              </m:r>
              <m:r>
                <m:t>r</m:t>
              </m:r>
              <m:r>
                <m:rPr>
                  <m:sty m:val="p"/>
                </m:rPr>
                <m:t>,</m:t>
              </m:r>
              <m:r>
                <m:t>h</m:t>
              </m:r>
            </m:sub>
          </m:sSub>
          <m:r>
            <m:rPr>
              <m:sty m:val="p"/>
            </m:rPr>
            <m:t>=</m:t>
          </m:r>
          <m:sSub>
            <m:e>
              <m:r>
                <m:t>O</m:t>
              </m:r>
            </m:e>
            <m:sub>
              <m:r>
                <m:t>c</m:t>
              </m:r>
              <m:r>
                <m:rPr>
                  <m:sty m:val="p"/>
                </m:rPr>
                <m:t>,</m:t>
              </m:r>
              <m:r>
                <m:t>r</m:t>
              </m:r>
              <m:r>
                <m:rPr>
                  <m:sty m:val="p"/>
                </m:rPr>
                <m:t>,</m:t>
              </m:r>
              <m:r>
                <m:t>h</m:t>
              </m:r>
            </m:sub>
          </m:sSub>
          <m:sSub>
            <m:e>
              <m:r>
                <m:t>T</m:t>
              </m:r>
            </m:e>
            <m:sub>
              <m:r>
                <m:t>c</m:t>
              </m:r>
              <m:r>
                <m:rPr>
                  <m:sty m:val="p"/>
                </m:rPr>
                <m:t>,</m:t>
              </m:r>
              <m:r>
                <m:t>r</m:t>
              </m:r>
              <m:r>
                <m:rPr>
                  <m:sty m:val="p"/>
                </m:rPr>
                <m:t>,</m:t>
              </m:r>
              <m:r>
                <m:t>h</m:t>
              </m:r>
            </m:sub>
          </m:sSub>
          <m:sSub>
            <m:e>
              <m:r>
                <m:t>F</m:t>
              </m:r>
            </m:e>
            <m:sub>
              <m:r>
                <m:t>c</m:t>
              </m:r>
              <m:r>
                <m:rPr>
                  <m:sty m:val="p"/>
                </m:rPr>
                <m:t>,</m:t>
              </m:r>
              <m:r>
                <m:t>r</m:t>
              </m:r>
              <m:r>
                <m:rPr>
                  <m:sty m:val="p"/>
                </m:rPr>
                <m:t>,</m:t>
              </m:r>
              <m:r>
                <m:t>h</m:t>
              </m:r>
            </m:sub>
          </m:sSub>
          <m:sSub>
            <m:e>
              <m:r>
                <m:t>L</m:t>
              </m:r>
            </m:e>
            <m:sub>
              <m:r>
                <m:t>c</m:t>
              </m:r>
              <m:r>
                <m:rPr>
                  <m:sty m:val="p"/>
                </m:rPr>
                <m:t>,</m:t>
              </m:r>
              <m:r>
                <m:t>r</m:t>
              </m:r>
              <m:r>
                <m:rPr>
                  <m:sty m:val="p"/>
                </m:rPr>
                <m:t>,</m:t>
              </m:r>
              <m:r>
                <m:t>h</m:t>
              </m:r>
            </m:sub>
          </m:sSub>
          <m:sSub>
            <m:e>
              <m:r>
                <m:t>E</m:t>
              </m:r>
            </m:e>
            <m:sub>
              <m:r>
                <m:t>c</m:t>
              </m:r>
              <m:r>
                <m:rPr>
                  <m:sty m:val="p"/>
                </m:rPr>
                <m:t>,</m:t>
              </m:r>
              <m:r>
                <m:t>r</m:t>
              </m:r>
              <m:r>
                <m:rPr>
                  <m:sty m:val="p"/>
                </m:rPr>
                <m:t>,</m:t>
              </m:r>
              <m:r>
                <m:t>h</m:t>
              </m:r>
            </m:sub>
          </m:sSub>
        </m:oMath>
      </m:oMathPara>
    </w:p>
    <w:p>
      <w:pPr>
        <w:pStyle w:val="FirstParagraph"/>
      </w:pPr>
      <w:r>
        <w:t xml:space="preserve">where,</w:t>
      </w:r>
    </w:p>
    <w:p>
      <w:pPr>
        <w:pStyle w:val="BodyText"/>
      </w:pPr>
      <m:oMath>
        <m:r>
          <m:t>c</m:t>
        </m:r>
      </m:oMath>
      <w:r>
        <w:t xml:space="preserve"> </w:t>
      </w:r>
      <w:r>
        <w:t xml:space="preserve">denotes the phase number (corresponding to the order that a crop phase appear in each system),</w:t>
      </w:r>
      <w:r>
        <w:br/>
      </w:r>
      <m:oMath>
        <m:r>
          <m:t>r</m:t>
        </m:r>
      </m:oMath>
      <w:r>
        <w:t xml:space="preserve"> </w:t>
      </w:r>
      <w:r>
        <w:t xml:space="preserve">denotes the total number of crop phases,</w:t>
      </w:r>
      <w:r>
        <w:t xml:space="preserve"> </w:t>
      </w:r>
      <m:oMath>
        <m:r>
          <m:t>r</m:t>
        </m:r>
        <m:r>
          <m:rPr>
            <m:sty m:val="p"/>
          </m:rPr>
          <m:t>=</m:t>
        </m:r>
        <m:r>
          <m:rPr>
            <m:sty m:val="p"/>
          </m:rPr>
          <m:t>{</m:t>
        </m:r>
        <m:r>
          <m:t>2</m:t>
        </m:r>
        <m:r>
          <m:rPr>
            <m:sty m:val="p"/>
          </m:rPr>
          <m:t>,</m:t>
        </m:r>
        <m:r>
          <m:t>3</m:t>
        </m:r>
        <m:r>
          <m:rPr>
            <m:sty m:val="p"/>
          </m:rPr>
          <m:t>,</m:t>
        </m:r>
        <m:r>
          <m:t>4</m:t>
        </m:r>
        <m:r>
          <m:rPr>
            <m:sty m:val="p"/>
          </m:rPr>
          <m:t>}</m:t>
        </m:r>
      </m:oMath>
      <w:r>
        <w:t xml:space="preserve">, and</w:t>
      </w:r>
      <w:r>
        <w:br/>
      </w:r>
      <m:oMath>
        <m:r>
          <m:t>h</m:t>
        </m:r>
      </m:oMath>
      <w:r>
        <w:t xml:space="preserve"> </w:t>
      </w:r>
      <w:r>
        <w:t xml:space="preserve">denotes the herbicide regime in a specific treatment,</w:t>
      </w:r>
      <w:r>
        <w:t xml:space="preserve"> </w:t>
      </w:r>
      <m:oMath>
        <m:r>
          <m:t>h</m:t>
        </m:r>
        <m:r>
          <m:rPr>
            <m:sty m:val="p"/>
          </m:rPr>
          <m:t>=</m:t>
        </m:r>
        <m:r>
          <m:rPr>
            <m:sty m:val="p"/>
          </m:rPr>
          <m:t>{</m:t>
        </m:r>
        <m:r>
          <m:t>l</m:t>
        </m:r>
        <m:r>
          <m:rPr>
            <m:sty m:val="p"/>
          </m:rPr>
          <m:t>,</m:t>
        </m:r>
        <m:r>
          <m:t>c</m:t>
        </m:r>
        <m:r>
          <m:rPr>
            <m:sty m:val="p"/>
          </m:rPr>
          <m:t>}</m:t>
        </m:r>
      </m:oMath>
      <w:r>
        <w:t xml:space="preserve">.</w:t>
      </w:r>
      <w:r>
        <w:br/>
      </w:r>
      <w:r>
        <w:t xml:space="preserve">For</w:t>
      </w:r>
      <w:r>
        <w:t xml:space="preserve"> </w:t>
      </w:r>
      <m:oMath>
        <m:r>
          <m:t>c</m:t>
        </m:r>
      </m:oMath>
      <w:r>
        <w:t xml:space="preserve">, corn is phase 1, soybean 2, oat 3, and alfalfa 4.</w:t>
      </w:r>
    </w:p>
    <w:p>
      <w:pPr>
        <w:pStyle w:val="BodyText"/>
      </w:pPr>
      <w:r>
        <w:t xml:space="preserve">The whole-system net change per each rotation x herbicide treatment</w:t>
      </w:r>
      <w:r>
        <w:t xml:space="preserve"> </w:t>
      </w:r>
      <m:oMath>
        <m:sSub>
          <m:e>
            <m:r>
              <m:t>A</m:t>
            </m:r>
          </m:e>
          <m:sub>
            <m:r>
              <m:t>r</m:t>
            </m:r>
            <m:r>
              <m:rPr>
                <m:sty m:val="p"/>
              </m:rPr>
              <m:t>,</m:t>
            </m:r>
            <m:r>
              <m:t>h</m:t>
            </m:r>
          </m:sub>
        </m:sSub>
      </m:oMath>
      <w:r>
        <w:t xml:space="preserve"> </w:t>
      </w:r>
      <w:r>
        <w:t xml:space="preserve">is the product of all the</w:t>
      </w:r>
      <w:r>
        <w:t xml:space="preserve"> </w:t>
      </w:r>
      <m:oMath>
        <m:sSub>
          <m:e>
            <m:r>
              <m:t>P</m:t>
            </m:r>
          </m:e>
          <m:sub>
            <m:r>
              <m:t>c</m:t>
            </m:r>
            <m:r>
              <m:rPr>
                <m:sty m:val="p"/>
              </m:rPr>
              <m:t>,</m:t>
            </m:r>
            <m:r>
              <m:t>r</m:t>
            </m:r>
            <m:r>
              <m:rPr>
                <m:sty m:val="p"/>
              </m:rPr>
              <m:t>,</m:t>
            </m:r>
            <m:r>
              <m:t>h</m:t>
            </m:r>
          </m:sub>
        </m:sSub>
      </m:oMath>
      <w:r>
        <w:t xml:space="preserve"> </w:t>
      </w:r>
      <w:r>
        <w:t xml:space="preserve">matrices within that treatment.</w:t>
      </w:r>
      <w:r>
        <w:br/>
      </w:r>
      <w:r>
        <w:t xml:space="preserve">For example,</w:t>
      </w:r>
      <w:r>
        <w:t xml:space="preserve"> </w:t>
      </w:r>
      <m:oMath>
        <m:sSub>
          <m:e>
            <m:r>
              <m:t>A</m:t>
            </m:r>
          </m:e>
          <m:sub>
            <m:r>
              <m:t>2</m:t>
            </m:r>
            <m:r>
              <m:rPr>
                <m:sty m:val="p"/>
              </m:rPr>
              <m:t>,</m:t>
            </m:r>
            <m:r>
              <m:t>c</m:t>
            </m:r>
          </m:sub>
        </m:sSub>
        <m:r>
          <m:rPr>
            <m:sty m:val="p"/>
          </m:rPr>
          <m:t>=</m:t>
        </m:r>
        <m:sSub>
          <m:e>
            <m:r>
              <m:t>P</m:t>
            </m:r>
          </m:e>
          <m:sub>
            <m:r>
              <m:t>2</m:t>
            </m:r>
            <m:r>
              <m:rPr>
                <m:sty m:val="p"/>
              </m:rPr>
              <m:t>,</m:t>
            </m:r>
            <m:r>
              <m:t>2</m:t>
            </m:r>
            <m:r>
              <m:rPr>
                <m:sty m:val="p"/>
              </m:rPr>
              <m:t>,</m:t>
            </m:r>
            <m:r>
              <m:t>c</m:t>
            </m:r>
          </m:sub>
        </m:sSub>
        <m:sSub>
          <m:e>
            <m:r>
              <m:t>P</m:t>
            </m:r>
          </m:e>
          <m:sub>
            <m:r>
              <m:t>1</m:t>
            </m:r>
            <m:r>
              <m:rPr>
                <m:sty m:val="p"/>
              </m:rPr>
              <m:t>,</m:t>
            </m:r>
            <m:r>
              <m:t>2</m:t>
            </m:r>
            <m:r>
              <m:rPr>
                <m:sty m:val="p"/>
              </m:rPr>
              <m:t>,</m:t>
            </m:r>
            <m:r>
              <m:t>c</m:t>
            </m:r>
          </m:sub>
        </m:sSub>
      </m:oMath>
      <w:r>
        <w:t xml:space="preserve"> </w:t>
      </w:r>
      <w:r>
        <w:t xml:space="preserve">is the rotation-wise transition matrix for the 2 year rotation under conventional herbicide and</w:t>
      </w:r>
      <w:r>
        <w:t xml:space="preserve"> </w:t>
      </w:r>
      <m:oMath>
        <m:sSub>
          <m:e>
            <m:r>
              <m:t>A</m:t>
            </m:r>
          </m:e>
          <m:sub>
            <m:r>
              <m:t>3</m:t>
            </m:r>
            <m:r>
              <m:rPr>
                <m:sty m:val="p"/>
              </m:rPr>
              <m:t>,</m:t>
            </m:r>
            <m:r>
              <m:t>l</m:t>
            </m:r>
          </m:sub>
        </m:sSub>
        <m:r>
          <m:rPr>
            <m:sty m:val="p"/>
          </m:rPr>
          <m:t>=</m:t>
        </m:r>
        <m:sSub>
          <m:e>
            <m:r>
              <m:t>P</m:t>
            </m:r>
          </m:e>
          <m:sub>
            <m:r>
              <m:t>3</m:t>
            </m:r>
            <m:r>
              <m:rPr>
                <m:sty m:val="p"/>
              </m:rPr>
              <m:t>,</m:t>
            </m:r>
            <m:r>
              <m:t>3</m:t>
            </m:r>
            <m:r>
              <m:rPr>
                <m:sty m:val="p"/>
              </m:rPr>
              <m:t>,</m:t>
            </m:r>
            <m:r>
              <m:t>l</m:t>
            </m:r>
          </m:sub>
        </m:sSub>
        <m:sSub>
          <m:e>
            <m:r>
              <m:t>P</m:t>
            </m:r>
          </m:e>
          <m:sub>
            <m:r>
              <m:t>2</m:t>
            </m:r>
            <m:r>
              <m:rPr>
                <m:sty m:val="p"/>
              </m:rPr>
              <m:t>,</m:t>
            </m:r>
            <m:r>
              <m:t>3</m:t>
            </m:r>
            <m:r>
              <m:rPr>
                <m:sty m:val="p"/>
              </m:rPr>
              <m:t>,</m:t>
            </m:r>
            <m:r>
              <m:t>l</m:t>
            </m:r>
          </m:sub>
        </m:sSub>
        <m:sSub>
          <m:e>
            <m:r>
              <m:t>P</m:t>
            </m:r>
          </m:e>
          <m:sub>
            <m:r>
              <m:t>1</m:t>
            </m:r>
            <m:r>
              <m:rPr>
                <m:sty m:val="p"/>
              </m:rPr>
              <m:t>,</m:t>
            </m:r>
            <m:r>
              <m:t>3</m:t>
            </m:r>
            <m:r>
              <m:rPr>
                <m:sty m:val="p"/>
              </m:rPr>
              <m:t>,</m:t>
            </m:r>
            <m:r>
              <m:t>l</m:t>
            </m:r>
          </m:sub>
        </m:sSub>
      </m:oMath>
      <w:r>
        <w:t xml:space="preserve"> </w:t>
      </w:r>
      <w:r>
        <w:t xml:space="preserve">for the 3-year rotation under low herbicide.</w:t>
      </w:r>
    </w:p>
    <w:p>
      <w:pPr>
        <w:pStyle w:val="BodyText"/>
      </w:pPr>
      <w:r>
        <w:t xml:space="preserve">The key output of the prospective analysis here is the population change rate,</w:t>
      </w:r>
      <w:r>
        <w:t xml:space="preserve"> </w:t>
      </w:r>
      <m:oMath>
        <m:r>
          <m:t>λ</m:t>
        </m:r>
      </m:oMath>
      <w:r>
        <w:t xml:space="preserve"> </w:t>
      </w:r>
      <w:r>
        <w:t xml:space="preserve">(</w:t>
      </w:r>
      <m:oMath>
        <m:r>
          <m:t>λ</m:t>
        </m:r>
        <m:r>
          <m:rPr>
            <m:sty m:val="p"/>
          </m:rPr>
          <m:t>&gt;</m:t>
        </m:r>
        <m:r>
          <m:t>0</m:t>
        </m:r>
      </m:oMath>
      <w:r>
        <w:t xml:space="preserve">).</w:t>
      </w:r>
      <w:r>
        <w:t xml:space="preserve"> </w:t>
      </w:r>
      <m:oMath>
        <m:r>
          <m:t>λ</m:t>
        </m:r>
      </m:oMath>
      <w:r>
        <w:t xml:space="preserve"> </w:t>
      </w:r>
      <w:r>
        <w:t xml:space="preserve">is the dominant eigen vector of the annual projection matrix.</w:t>
      </w:r>
      <w:r>
        <w:t xml:space="preserve"> </w:t>
      </w:r>
      <m:oMath>
        <m:r>
          <m:t>λ</m:t>
        </m:r>
        <m:r>
          <m:rPr>
            <m:sty m:val="p"/>
          </m:rPr>
          <m:t>&lt;</m:t>
        </m:r>
        <m:r>
          <m:t>1</m:t>
        </m:r>
      </m:oMath>
      <w:r>
        <w:t xml:space="preserve"> </w:t>
      </w:r>
      <w:r>
        <w:t xml:space="preserve">means a population is decreasing but,</w:t>
      </w:r>
      <w:r>
        <w:t xml:space="preserve"> </w:t>
      </w:r>
      <m:oMath>
        <m:r>
          <m:t>λ</m:t>
        </m:r>
        <m:r>
          <m:rPr>
            <m:sty m:val="p"/>
          </m:rPr>
          <m:t>&gt;</m:t>
        </m:r>
        <m:r>
          <m:t>1</m:t>
        </m:r>
      </m:oMath>
      <w:r>
        <w:t xml:space="preserve"> </w:t>
      </w:r>
      <w:r>
        <w:t xml:space="preserve">means the population is growing.</w:t>
      </w:r>
      <w:r>
        <w:t xml:space="preserve"> </w:t>
      </w:r>
      <w:r>
        <w:t xml:space="preserve">Prospective analysis consists of the sensitivity and elasticity of</w:t>
      </w:r>
      <w:r>
        <w:t xml:space="preserve"> </w:t>
      </w:r>
      <m:oMath>
        <m:r>
          <m:t>λ</m:t>
        </m:r>
      </m:oMath>
      <w:r>
        <w:t xml:space="preserve"> </w:t>
      </w:r>
      <w:r>
        <w:t xml:space="preserve">in response to varying input parameters. These analyses will be done by the default algorithm in the</w:t>
      </w:r>
      <w:r>
        <w:t xml:space="preserve"> </w:t>
      </w:r>
      <w:r>
        <w:rPr>
          <w:rStyle w:val="VerbatimChar"/>
        </w:rPr>
        <w:t xml:space="preserve">popbio</w:t>
      </w:r>
      <w:r>
        <w:t xml:space="preserve"> </w:t>
      </w:r>
      <w:r>
        <w:t xml:space="preserve">package</w:t>
      </w:r>
      <w:r>
        <w:t xml:space="preserve"> </w:t>
      </w:r>
      <w:r>
        <w:t xml:space="preserve">(</w:t>
      </w:r>
      <w:r>
        <w:rPr>
          <w:bCs/>
          <w:b/>
        </w:rPr>
        <w:t xml:space="preserve">stubbenPopbioConstructionAnalysis2018?</w:t>
      </w:r>
      <w:r>
        <w:t xml:space="preserve">)</w:t>
      </w:r>
      <w:r>
        <w:t xml:space="preserve">.</w:t>
      </w:r>
      <w:r>
        <w:t xml:space="preserve"> </w:t>
      </w:r>
      <w:r>
        <w:t xml:space="preserve">Let</w:t>
      </w:r>
      <w:r>
        <w:t xml:space="preserve"> </w:t>
      </w:r>
      <m:oMath>
        <m:sSub>
          <m:e>
            <m:r>
              <m:t>a</m:t>
            </m:r>
          </m:e>
          <m:sub>
            <m:r>
              <m:t>r</m:t>
            </m:r>
            <m:r>
              <m:rPr>
                <m:sty m:val="p"/>
              </m:rPr>
              <m:t>,</m:t>
            </m:r>
            <m:r>
              <m:t>h</m:t>
            </m:r>
          </m:sub>
        </m:sSub>
      </m:oMath>
      <w:r>
        <w:t xml:space="preserve"> </w:t>
      </w:r>
      <w:r>
        <w:t xml:space="preserve">and</w:t>
      </w:r>
      <w:r>
        <w:t xml:space="preserve"> </w:t>
      </w:r>
      <m:oMath>
        <m:sSub>
          <m:e>
            <m:r>
              <m:t>p</m:t>
            </m:r>
          </m:e>
          <m:sub>
            <m:r>
              <m:t>c</m:t>
            </m:r>
            <m:r>
              <m:rPr>
                <m:sty m:val="p"/>
              </m:rPr>
              <m:t>,</m:t>
            </m:r>
            <m:r>
              <m:t>r</m:t>
            </m:r>
            <m:r>
              <m:rPr>
                <m:sty m:val="p"/>
              </m:rPr>
              <m:t>,</m:t>
            </m:r>
            <m:r>
              <m:t>h</m:t>
            </m:r>
          </m:sub>
        </m:sSub>
      </m:oMath>
      <w:r>
        <w:t xml:space="preserve"> </w:t>
      </w:r>
      <w:r>
        <w:t xml:space="preserve">denote the elements of each</w:t>
      </w:r>
      <w:r>
        <w:t xml:space="preserve"> </w:t>
      </w:r>
      <m:oMath>
        <m:sSub>
          <m:e>
            <m:r>
              <m:t>A</m:t>
            </m:r>
          </m:e>
          <m:sub>
            <m:r>
              <m:t>r</m:t>
            </m:r>
            <m:r>
              <m:rPr>
                <m:sty m:val="p"/>
              </m:rPr>
              <m:t>,</m:t>
            </m:r>
            <m:r>
              <m:t>h</m:t>
            </m:r>
          </m:sub>
        </m:sSub>
      </m:oMath>
      <w:r>
        <w:t xml:space="preserve"> </w:t>
      </w:r>
      <w:r>
        <w:t xml:space="preserve">and</w:t>
      </w:r>
      <w:r>
        <w:t xml:space="preserve"> </w:t>
      </w:r>
      <m:oMath>
        <m:sSub>
          <m:e>
            <m:r>
              <m:t>P</m:t>
            </m:r>
          </m:e>
          <m:sub>
            <m:r>
              <m:t>c</m:t>
            </m:r>
            <m:r>
              <m:rPr>
                <m:sty m:val="p"/>
              </m:rPr>
              <m:t>,</m:t>
            </m:r>
            <m:r>
              <m:t>r</m:t>
            </m:r>
            <m:r>
              <m:rPr>
                <m:sty m:val="p"/>
              </m:rPr>
              <m:t>,</m:t>
            </m:r>
            <m:r>
              <m:t>h</m:t>
            </m:r>
          </m:sub>
        </m:sSub>
      </m:oMath>
      <w:r>
        <w:t xml:space="preserve"> </w:t>
      </w:r>
      <w:r>
        <w:t xml:space="preserve">matrices. The sensitivity of</w:t>
      </w:r>
      <w:r>
        <w:t xml:space="preserve"> </w:t>
      </w:r>
      <m:oMath>
        <m:r>
          <m:t>λ</m:t>
        </m:r>
      </m:oMath>
      <w:r>
        <w:t xml:space="preserve"> </w:t>
      </w:r>
      <w:r>
        <w:t xml:space="preserve">is then the total derivative of</w:t>
      </w:r>
      <w:r>
        <w:t xml:space="preserve"> </w:t>
      </w:r>
      <m:oMath>
        <m:r>
          <m:t>λ</m:t>
        </m:r>
      </m:oMath>
      <w:r>
        <w:t xml:space="preserve"> </w:t>
      </w:r>
      <w:r>
        <w:t xml:space="preserve">with regard to each of the vital rates in</w:t>
      </w:r>
      <w:r>
        <w:t xml:space="preserve"> </w:t>
      </w:r>
      <m:oMath>
        <m:sSub>
          <m:e>
            <m:r>
              <m:t>P</m:t>
            </m:r>
          </m:e>
          <m:sub>
            <m:r>
              <m:t>c</m:t>
            </m:r>
            <m:r>
              <m:rPr>
                <m:sty m:val="p"/>
              </m:rPr>
              <m:t>,</m:t>
            </m:r>
            <m:r>
              <m:t>r</m:t>
            </m:r>
            <m:r>
              <m:rPr>
                <m:sty m:val="p"/>
              </m:rPr>
              <m:t>,</m:t>
            </m:r>
            <m:r>
              <m:t>h</m:t>
            </m:r>
          </m:sub>
        </m:sSub>
      </m:oMath>
      <w:r>
        <w:t xml:space="preserve"> </w:t>
      </w:r>
      <w:r>
        <w:t xml:space="preserve">matrices</w:t>
      </w:r>
      <w:r>
        <w:t xml:space="preserve"> </w:t>
      </w:r>
      <w:r>
        <w:t xml:space="preserve">(Equation 9.63,</w:t>
      </w:r>
      <w:r>
        <w:t xml:space="preserve"> </w:t>
      </w:r>
      <w:r>
        <w:rPr>
          <w:bCs/>
          <w:b/>
        </w:rPr>
        <w:t xml:space="preserve">caswellMatrixPopulationModels2001?</w:t>
      </w:r>
      <w:r>
        <w:t xml:space="preserve">)</w:t>
      </w:r>
      <w:r>
        <w:t xml:space="preserve">.</w:t>
      </w:r>
      <w:r>
        <w:t xml:space="preserve"> </w:t>
      </w:r>
      <w:r>
        <w:t xml:space="preserve">Using the same notation, the elasticity of</w:t>
      </w:r>
      <w:r>
        <w:t xml:space="preserve"> </w:t>
      </w:r>
      <m:oMath>
        <m:r>
          <m:t>λ</m:t>
        </m:r>
      </m:oMath>
      <w:r>
        <w:t xml:space="preserve"> </w:t>
      </w:r>
      <w:r>
        <w:t xml:space="preserve">is the proportional sensitivities</w:t>
      </w:r>
      <w:r>
        <w:t xml:space="preserve"> </w:t>
      </w:r>
      <w:r>
        <w:t xml:space="preserve">(Equation 9.70,</w:t>
      </w:r>
      <w:r>
        <w:t xml:space="preserve"> </w:t>
      </w:r>
      <w:r>
        <w:rPr>
          <w:bCs/>
          <w:b/>
        </w:rPr>
        <w:t xml:space="preserve">caswellMatrixPopulationModels2001?</w:t>
      </w:r>
      <w:r>
        <w:t xml:space="preserve">)</w:t>
      </w:r>
      <w:r>
        <w:t xml:space="preserve">.</w:t>
      </w:r>
    </w:p>
    <w:bookmarkStart w:id="25" w:name="seedling-establishment-matrix"/>
    <w:p>
      <w:pPr>
        <w:pStyle w:val="Heading4"/>
      </w:pPr>
      <w:r>
        <w:t xml:space="preserve">Seedling establishment matrix</w:t>
      </w:r>
    </w:p>
    <w:p>
      <w:pPr>
        <w:pStyle w:val="FirstParagraph"/>
      </w:pPr>
      <w:r>
        <w:t xml:space="preserve">The seedling establishment matrix</w:t>
      </w:r>
      <w:r>
        <w:t xml:space="preserve"> </w:t>
      </w:r>
      <m:oMath>
        <m:r>
          <m:t>E</m:t>
        </m:r>
      </m:oMath>
      <w:r>
        <w:t xml:space="preserve"> </w:t>
      </w:r>
      <w:r>
        <w:t xml:space="preserve">describes the emergence probability from the 0-2 cm stratum to each of the six cohorts.</w:t>
      </w:r>
    </w:p>
    <w:p>
      <w:pPr>
        <w:pStyle w:val="BodyText"/>
      </w:pPr>
      <m:oMathPara>
        <m:oMathParaPr>
          <m:jc m:val="center"/>
        </m:oMathParaPr>
        <m:oMath>
          <m:r>
            <m:rPr>
              <m:sty m:val="b"/>
            </m:rPr>
            <m:t>E</m:t>
          </m:r>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r>
                      <m:t>1</m:t>
                    </m:r>
                    <m:r>
                      <m:rPr>
                        <m:sty m:val="p"/>
                      </m:rPr>
                      <m:t>−</m:t>
                    </m:r>
                    <m:nary>
                      <m:naryPr>
                        <m:chr m:val="∑"/>
                        <m:limLoc m:val="undOvr"/>
                        <m:subHide m:val="0"/>
                        <m:supHide m:val="0"/>
                      </m:naryPr>
                      <m:sub>
                        <m:r>
                          <m:t>i</m:t>
                        </m:r>
                        <m:r>
                          <m:rPr>
                            <m:sty m:val="p"/>
                          </m:rPr>
                          <m:t>=</m:t>
                        </m:r>
                        <m:r>
                          <m:t>1</m:t>
                        </m:r>
                      </m:sub>
                      <m:sup>
                        <m:r>
                          <m:t>6</m:t>
                        </m:r>
                      </m:sup>
                      <m:e>
                        <m:sSub>
                          <m:e>
                            <m:r>
                              <m:t>e</m:t>
                            </m:r>
                          </m:e>
                          <m:sub>
                            <m:r>
                              <m:t>i</m:t>
                            </m:r>
                          </m:sub>
                        </m:sSub>
                      </m:e>
                    </m:nary>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1</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sSub>
                      <m:e>
                        <m:r>
                          <m:t>e</m:t>
                        </m:r>
                      </m:e>
                      <m:sub>
                        <m:r>
                          <m:t>1</m:t>
                        </m:r>
                      </m:sub>
                    </m:sSub>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sSub>
                      <m:e>
                        <m:r>
                          <m:t>e</m:t>
                        </m:r>
                      </m:e>
                      <m:sub>
                        <m:r>
                          <m:t>6</m:t>
                        </m:r>
                      </m:sub>
                    </m:sSub>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
            </m:e>
          </m:d>
        </m:oMath>
      </m:oMathPara>
    </w:p>
    <w:bookmarkEnd w:id="25"/>
    <w:bookmarkStart w:id="27" w:name="survival-matrix-from-spring-to-fall"/>
    <w:p>
      <w:pPr>
        <w:pStyle w:val="Heading4"/>
      </w:pPr>
      <w:r>
        <w:t xml:space="preserve">Survival matrix from spring to fall</w:t>
      </w:r>
    </w:p>
    <w:p>
      <w:pPr>
        <w:pStyle w:val="FirstParagraph"/>
      </w:pPr>
      <w:r>
        <w:t xml:space="preserve">The diagonal of the top left section of matrix</w:t>
      </w:r>
      <w:r>
        <w:t xml:space="preserve"> </w:t>
      </w:r>
      <m:oMath>
        <m:r>
          <m:t>L</m:t>
        </m:r>
      </m:oMath>
      <w:r>
        <w:t xml:space="preserve"> </w:t>
      </w:r>
      <w:r>
        <w:t xml:space="preserve">describes the survival probability of seeds at the top (0-2cm) and bottom (2-20cm) strata.</w:t>
      </w:r>
      <w:r>
        <w:t xml:space="preserve"> </w:t>
      </w:r>
      <w:r>
        <w:t xml:space="preserve">The diagonal of the bottom right section of matrix</w:t>
      </w:r>
      <w:r>
        <w:t xml:space="preserve"> </w:t>
      </w:r>
      <m:oMath>
        <m:r>
          <m:t>L</m:t>
        </m:r>
      </m:oMath>
      <w:r>
        <w:t xml:space="preserve"> </w:t>
      </w:r>
      <w:r>
        <w:t xml:space="preserve">describes the cohort-specific survival probabilities of the emerged female seedlings to maturity.</w:t>
      </w:r>
    </w:p>
    <w:p>
      <w:pPr>
        <w:pStyle w:val="BodyText"/>
      </w:pPr>
      <m:oMathPara>
        <m:oMathParaPr>
          <m:jc m:val="center"/>
        </m:oMathParaPr>
        <m:oMath>
          <m:r>
            <m:rPr>
              <m:sty m:val="b"/>
            </m:rPr>
            <m:t>L</m:t>
          </m:r>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r>
                      <m:t>1</m:t>
                    </m:r>
                    <m:r>
                      <m:rPr>
                        <m:sty m:val="p"/>
                      </m:rPr>
                      <m:t>−</m:t>
                    </m:r>
                    <m:sSub>
                      <m:e>
                        <m:r>
                          <m:t>μ</m:t>
                        </m:r>
                      </m:e>
                      <m:sub>
                        <m:r>
                          <m:t>1</m:t>
                        </m:r>
                      </m:sub>
                    </m:sSub>
                  </m:e>
                  <m:e>
                    <m:r>
                      <m:t>0</m:t>
                    </m:r>
                  </m:e>
                  <m:e>
                    <m:r>
                      <m:t>0</m:t>
                    </m:r>
                  </m:e>
                  <m:e>
                    <m:r>
                      <m:rPr>
                        <m:sty m:val="p"/>
                      </m:rPr>
                      <m:t>.</m:t>
                    </m:r>
                    <m:r>
                      <m:rPr>
                        <m:sty m:val="p"/>
                      </m:rPr>
                      <m:t>.</m:t>
                    </m:r>
                    <m:r>
                      <m:rPr>
                        <m:sty m:val="p"/>
                      </m:rPr>
                      <m:t>.</m:t>
                    </m:r>
                  </m:e>
                  <m:e>
                    <m:r>
                      <m:t>0</m:t>
                    </m:r>
                  </m:e>
                  <m:e>
                    <m:r>
                      <m:t>0</m:t>
                    </m:r>
                  </m:e>
                  <m:e>
                    <m:r>
                      <m:rPr>
                        <m:sty m:val="p"/>
                      </m:rPr>
                      <m:t>.</m:t>
                    </m:r>
                    <m:r>
                      <m:rPr>
                        <m:sty m:val="p"/>
                      </m:rPr>
                      <m:t>.</m:t>
                    </m:r>
                    <m:r>
                      <m:rPr>
                        <m:sty m:val="p"/>
                      </m:rPr>
                      <m:t>.</m:t>
                    </m:r>
                  </m:e>
                  <m:e>
                    <m:r>
                      <m:t>0</m:t>
                    </m:r>
                  </m:e>
                </m:mr>
                <m:mr>
                  <m:e>
                    <m:r>
                      <m:t>0</m:t>
                    </m:r>
                  </m:e>
                  <m:e>
                    <m:r>
                      <m:t>1</m:t>
                    </m:r>
                    <m:r>
                      <m:rPr>
                        <m:sty m:val="p"/>
                      </m:rPr>
                      <m:t>−</m:t>
                    </m:r>
                    <m:sSub>
                      <m:e>
                        <m:r>
                          <m:t>μ</m:t>
                        </m:r>
                      </m:e>
                      <m:sub>
                        <m:r>
                          <m:t>2</m:t>
                        </m:r>
                      </m:sub>
                    </m:sSub>
                  </m:e>
                  <m:e>
                    <m:r>
                      <m:t>0</m:t>
                    </m:r>
                  </m:e>
                  <m:e>
                    <m:r>
                      <m:rPr>
                        <m:sty m:val="p"/>
                      </m:rPr>
                      <m:t>.</m:t>
                    </m:r>
                    <m:r>
                      <m:rPr>
                        <m:sty m:val="p"/>
                      </m:rPr>
                      <m:t>.</m:t>
                    </m:r>
                    <m:r>
                      <m:rPr>
                        <m:sty m:val="p"/>
                      </m:rPr>
                      <m:t>.</m:t>
                    </m:r>
                  </m:e>
                  <m:e>
                    <m:r>
                      <m:t>0</m:t>
                    </m:r>
                  </m:e>
                  <m:e>
                    <m:r>
                      <m:t>0</m:t>
                    </m:r>
                  </m:e>
                  <m:e>
                    <m:r>
                      <m:rPr>
                        <m:sty m:val="p"/>
                      </m:rPr>
                      <m:t>.</m:t>
                    </m:r>
                    <m:r>
                      <m:rPr>
                        <m:sty m:val="p"/>
                      </m:rPr>
                      <m:t>.</m:t>
                    </m:r>
                    <m:r>
                      <m:rPr>
                        <m:sty m:val="p"/>
                      </m:rPr>
                      <m:t>.</m:t>
                    </m:r>
                  </m:e>
                  <m:e>
                    <m:r>
                      <m:t>0</m:t>
                    </m:r>
                  </m:e>
                </m:mr>
                <m:mr>
                  <m:e>
                    <m:r>
                      <m:t>0</m:t>
                    </m:r>
                  </m:e>
                  <m:e>
                    <m:r>
                      <m:t>0</m:t>
                    </m:r>
                  </m:e>
                  <m:e>
                    <m:sSub>
                      <m:e>
                        <m:r>
                          <m:t>l</m:t>
                        </m:r>
                      </m:e>
                      <m:sub>
                        <m:r>
                          <m:t>1</m:t>
                        </m:r>
                      </m:sub>
                    </m:sSub>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t>0</m:t>
                    </m:r>
                  </m:e>
                  <m:e>
                    <m:sSub>
                      <m:e>
                        <m:r>
                          <m:t>l</m:t>
                        </m:r>
                      </m:e>
                      <m:sub>
                        <m:r>
                          <m:t>2</m:t>
                        </m:r>
                      </m:sub>
                    </m:sSub>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e>
                    <m:sSub>
                      <m:e>
                        <m:r>
                          <m:t>l</m:t>
                        </m:r>
                      </m:e>
                      <m:sub>
                        <m:r>
                          <m:t>6</m:t>
                        </m:r>
                      </m:sub>
                    </m:sSub>
                  </m:e>
                </m:mr>
              </m:m>
            </m:e>
          </m:d>
        </m:oMath>
      </m:oMathPara>
    </w:p>
    <w:p>
      <w:pPr>
        <w:pStyle w:val="FirstParagraph"/>
      </w:pPr>
      <m:oMath>
        <m:sSub>
          <m:e>
            <m:r>
              <m:t>μ</m:t>
            </m:r>
          </m:e>
          <m:sub>
            <m:r>
              <m:t>d</m:t>
            </m:r>
          </m:sub>
        </m:sSub>
      </m:oMath>
      <w:r>
        <w:t xml:space="preserve"> </w:t>
      </w:r>
      <w:r>
        <w:t xml:space="preserve">is the mortality rate at strata</w:t>
      </w:r>
      <w:r>
        <w:t xml:space="preserve"> </w:t>
      </w:r>
      <m:oMath>
        <m:r>
          <m:t>d</m:t>
        </m:r>
        <m:r>
          <m:rPr>
            <m:sty m:val="p"/>
          </m:rPr>
          <m:t>=</m:t>
        </m:r>
        <m:r>
          <m:rPr>
            <m:sty m:val="p"/>
          </m:rPr>
          <m:t>{</m:t>
        </m:r>
        <m:r>
          <m:t>1</m:t>
        </m:r>
        <m:r>
          <m:rPr>
            <m:sty m:val="p"/>
          </m:rPr>
          <m:t>,</m:t>
        </m:r>
        <m:r>
          <m:t>2</m:t>
        </m:r>
        <m:r>
          <m:rPr>
            <m:sty m:val="p"/>
          </m:rPr>
          <m:t>}</m:t>
        </m:r>
      </m:oMath>
      <w:r>
        <w:t xml:space="preserve"> </w:t>
      </w:r>
      <w:r>
        <w:t xml:space="preserve">for top or bottom stratum.</w:t>
      </w:r>
      <w:r>
        <w:br/>
      </w:r>
      <m:oMath>
        <m:sSub>
          <m:e>
            <m:r>
              <m:t>l</m:t>
            </m:r>
          </m:e>
          <m:sub>
            <m:r>
              <m:t>i</m:t>
            </m:r>
          </m:sub>
        </m:sSub>
      </m:oMath>
      <w:r>
        <w:t xml:space="preserve"> </w:t>
      </w:r>
      <w:r>
        <w:t xml:space="preserve">is the survival rate of cohort</w:t>
      </w:r>
      <w:r>
        <w:t xml:space="preserve"> </w:t>
      </w:r>
      <m:oMath>
        <m:r>
          <m:t>i</m:t>
        </m:r>
      </m:oMath>
      <w:r>
        <w:t xml:space="preserve"> </w:t>
      </w:r>
      <w:r>
        <w:t xml:space="preserve">(</w:t>
      </w:r>
      <m:oMath>
        <m:r>
          <m:t>i</m:t>
        </m:r>
        <m:r>
          <m:rPr>
            <m:sty m:val="p"/>
          </m:rPr>
          <m:t>=</m:t>
        </m:r>
        <m:r>
          <m:rPr>
            <m:sty m:val="p"/>
          </m:rPr>
          <m:t>{</m:t>
        </m:r>
        <m:r>
          <m:t>1</m:t>
        </m:r>
        <m:r>
          <m:rPr>
            <m:sty m:val="p"/>
          </m:rPr>
          <m:t>,</m:t>
        </m:r>
        <m:r>
          <m:t>2</m:t>
        </m:r>
        <m:r>
          <m:rPr>
            <m:sty m:val="p"/>
          </m:rPr>
          <m:t>,</m:t>
        </m:r>
        <m:r>
          <m:rPr>
            <m:sty m:val="p"/>
          </m:rPr>
          <m:t>.</m:t>
        </m:r>
        <m:r>
          <m:rPr>
            <m:sty m:val="p"/>
          </m:rPr>
          <m:t>.</m:t>
        </m:r>
        <m:r>
          <m:t>.6</m:t>
        </m:r>
        <m:r>
          <m:rPr>
            <m:sty m:val="p"/>
          </m:rPr>
          <m:t>}</m:t>
        </m:r>
      </m:oMath>
      <w:r>
        <w:t xml:space="preserve">)</w:t>
      </w:r>
    </w:p>
    <w:p>
      <w:pPr>
        <w:pStyle w:val="BodyText"/>
      </w:pPr>
      <w:r>
        <w:t xml:space="preserve">In this matrix, we used</w:t>
      </w:r>
      <w:r>
        <w:t xml:space="preserve"> </w:t>
      </w:r>
      <m:oMath>
        <m:r>
          <m:t>1</m:t>
        </m:r>
        <m:r>
          <m:rPr>
            <m:sty m:val="p"/>
          </m:rPr>
          <m:t>−</m:t>
        </m:r>
        <m:sSub>
          <m:e>
            <m:r>
              <m:t>μ</m:t>
            </m:r>
          </m:e>
          <m:sub>
            <m:r>
              <m:t>1</m:t>
            </m:r>
          </m:sub>
        </m:sSub>
        <m:r>
          <m:rPr>
            <m:sty m:val="p"/>
          </m:rPr>
          <m:t>=</m:t>
        </m:r>
        <m:r>
          <m:t>y</m:t>
        </m:r>
        <m:r>
          <m:rPr>
            <m:sty m:val="p"/>
          </m:rPr>
          <m:t>=</m:t>
        </m:r>
        <m:r>
          <m:t>98.9</m:t>
        </m:r>
        <m:r>
          <m:t>e</m:t>
        </m:r>
        <m:r>
          <m:t>x</m:t>
        </m:r>
        <m:r>
          <m:t>p</m:t>
        </m:r>
        <m:d>
          <m:dPr>
            <m:begChr m:val="("/>
            <m:endChr m:val=")"/>
            <m:sepChr m:val=""/>
            <m:grow/>
          </m:dPr>
          <m:e>
            <m:r>
              <m:rPr>
                <m:sty m:val="p"/>
              </m:rPr>
              <m:t>−</m:t>
            </m:r>
            <m:r>
              <m:t>0.068</m:t>
            </m:r>
            <m:r>
              <m:t>x</m:t>
            </m:r>
          </m:e>
        </m:d>
        <m:r>
          <m:rPr>
            <m:sty m:val="p"/>
          </m:rPr>
          <m:t>%</m:t>
        </m:r>
      </m:oMath>
      <w:r>
        <w:t xml:space="preserve"> </w:t>
      </w:r>
      <w:r>
        <w:t xml:space="preserve">and</w:t>
      </w:r>
      <w:r>
        <w:t xml:space="preserve"> </w:t>
      </w:r>
      <m:oMath>
        <m:r>
          <m:t>1</m:t>
        </m:r>
        <m:r>
          <m:rPr>
            <m:sty m:val="p"/>
          </m:rPr>
          <m:t>−</m:t>
        </m:r>
        <m:sSub>
          <m:e>
            <m:r>
              <m:t>μ</m:t>
            </m:r>
          </m:e>
          <m:sub>
            <m:r>
              <m:t>2</m:t>
            </m:r>
          </m:sub>
        </m:sSub>
        <m:r>
          <m:rPr>
            <m:sty m:val="p"/>
          </m:rPr>
          <m:t>=</m:t>
        </m:r>
        <m:r>
          <m:t>y</m:t>
        </m:r>
        <m:r>
          <m:rPr>
            <m:sty m:val="p"/>
          </m:rPr>
          <m:t>=</m:t>
        </m:r>
        <m:r>
          <m:t>99.5</m:t>
        </m:r>
        <m:r>
          <m:t>e</m:t>
        </m:r>
        <m:r>
          <m:t>x</m:t>
        </m:r>
        <m:r>
          <m:t>p</m:t>
        </m:r>
        <m:d>
          <m:dPr>
            <m:begChr m:val="("/>
            <m:endChr m:val=")"/>
            <m:sepChr m:val=""/>
            <m:grow/>
          </m:dPr>
          <m:e>
            <m:r>
              <m:rPr>
                <m:sty m:val="p"/>
              </m:rPr>
              <m:t>−</m:t>
            </m:r>
            <m:r>
              <m:t>0.05</m:t>
            </m:r>
            <m:r>
              <m:t>x</m:t>
            </m:r>
          </m:e>
        </m:d>
        <m:r>
          <m:rPr>
            <m:sty m:val="p"/>
          </m:rPr>
          <m:t>%</m:t>
        </m:r>
      </m:oMath>
      <w:r>
        <w:t xml:space="preserve"> </w:t>
      </w:r>
      <w:r>
        <w:t xml:space="preserve">with</w:t>
      </w:r>
      <w:r>
        <w:t xml:space="preserve"> </w:t>
      </w:r>
      <m:oMath>
        <m:r>
          <m:t>x</m:t>
        </m:r>
        <m:r>
          <m:rPr>
            <m:sty m:val="p"/>
          </m:rPr>
          <m:t>=</m:t>
        </m:r>
        <m:r>
          <m:t>12</m:t>
        </m:r>
      </m:oMath>
      <w:r>
        <w:t xml:space="preserve"> </w:t>
      </w:r>
      <w:r>
        <w:t xml:space="preserve">months, from Figures 1 and 2 in</w:t>
      </w:r>
      <w:r>
        <w:t xml:space="preserve"> </w:t>
      </w:r>
      <w:r>
        <w:t xml:space="preserve">(</w:t>
      </w:r>
      <w:r>
        <w:rPr>
          <w:bCs/>
          <w:b/>
        </w:rPr>
        <w:t xml:space="preserve">sosnoskieGlyphosateResistanceDoes2013?</w:t>
      </w:r>
      <w:r>
        <w:t xml:space="preserve">)</w:t>
      </w:r>
      <w:r>
        <w:t xml:space="preserve">, respectively.</w:t>
      </w:r>
    </w:p>
    <w:p>
      <w:pPr>
        <w:pStyle w:val="BodyText"/>
      </w:pPr>
      <w:r>
        <w:t xml:space="preserve">Multiple scenarios of population densities at maturity will be reported. However, as the seedbank density may not be accurately assessed with the current sampling scheme, empirical numbers from the experiment site may not be used to calculate the number of seed germinated to the number of seed produced.</w:t>
      </w:r>
    </w:p>
    <w:bookmarkStart w:id="26" w:name="X5a19b96a27e8451485281c667c667ce2ac16939"/>
    <w:p>
      <w:pPr>
        <w:pStyle w:val="Heading6"/>
      </w:pPr>
      <w:r>
        <w:t xml:space="preserve">Survival against chemical versus physical weed control</w:t>
      </w:r>
    </w:p>
    <w:p>
      <w:pPr>
        <w:pStyle w:val="FirstParagraph"/>
      </w:pPr>
      <w:r>
        <w:t xml:space="preserve">I assume that the two causes of plant mortality in our experiment are physical and chemical controls.</w:t>
      </w:r>
      <w:r>
        <w:t xml:space="preserve"> </w:t>
      </w:r>
      <w:r>
        <w:t xml:space="preserve">That is to assume the interspecific competition among the weed community is negligible.</w:t>
      </w:r>
      <w:r>
        <w:t xml:space="preserve"> </w:t>
      </w:r>
      <w:r>
        <w:t xml:space="preserve">I do not distinguish the causes of death by physical weeders and from the competition with crops.</w:t>
      </w:r>
      <w:r>
        <w:t xml:space="preserve"> </w:t>
      </w:r>
      <w:r>
        <w:t xml:space="preserve">In reality, the weed management programs differed by crop species and the weed control efficacy varied by multiple factors, such as the resistance profile of the exposed weed population, application timing, weather, and machine function, etc., different levels of survival rates will be used in the final model. The survival rate from the empirical measurement at the experiment site will be used as a baseline value.</w:t>
      </w:r>
    </w:p>
    <w:p>
      <w:pPr>
        <w:pStyle w:val="BodyText"/>
      </w:pPr>
      <w:r>
        <w:t xml:space="preserve">The general formula for cohort survival rate,</w:t>
      </w:r>
      <w:r>
        <w:t xml:space="preserve"> </w:t>
      </w:r>
      <m:oMath>
        <m:sSub>
          <m:e>
            <m:r>
              <m:t>l</m:t>
            </m:r>
          </m:e>
          <m:sub>
            <m:r>
              <m:t>i</m:t>
            </m:r>
          </m:sub>
        </m:sSub>
      </m:oMath>
      <w:r>
        <w:t xml:space="preserve"> </w:t>
      </w:r>
      <w:r>
        <w:t xml:space="preserve">(more details are provided in the general introduction), is</w:t>
      </w:r>
      <w:r>
        <w:t xml:space="preserve"> </w:t>
      </w:r>
      <m:oMath>
        <m:sSub>
          <m:e>
            <m:r>
              <m:t>l</m:t>
            </m:r>
          </m:e>
          <m:sub>
            <m:r>
              <m:t>i</m:t>
            </m:r>
          </m:sub>
        </m:sSub>
        <m:r>
          <m:rPr>
            <m:sty m:val="p"/>
          </m:rPr>
          <m:t>=</m:t>
        </m:r>
        <m:r>
          <m:t>1</m:t>
        </m:r>
        <m:r>
          <m:rPr>
            <m:sty m:val="p"/>
          </m:rPr>
          <m:t>−</m:t>
        </m:r>
        <m:sSub>
          <m:e>
            <m:r>
              <m:t>μ</m:t>
            </m:r>
          </m:e>
          <m:sub>
            <m:r>
              <m:t>i</m:t>
            </m:r>
          </m:sub>
        </m:sSub>
      </m:oMath>
      <w:r>
        <w:t xml:space="preserve">.</w:t>
      </w:r>
      <w:r>
        <w:t xml:space="preserve"> </w:t>
      </w:r>
      <m:oMath>
        <m:sSub>
          <m:e>
            <m:r>
              <m:t>μ</m:t>
            </m:r>
          </m:e>
          <m:sub>
            <m:r>
              <m:t>i</m:t>
            </m:r>
          </m:sub>
        </m:sSub>
      </m:oMath>
      <w:r>
        <w:t xml:space="preserve"> </w:t>
      </w:r>
      <w:r>
        <w:t xml:space="preserve">is the cohort-specific total mortality rate.</w:t>
      </w:r>
      <w:r>
        <w:t xml:space="preserve"> </w:t>
      </w:r>
      <m:oMath>
        <m:sSub>
          <m:e>
            <m:r>
              <m:t>μ</m:t>
            </m:r>
          </m:e>
          <m:sub>
            <m:r>
              <m:t>i</m:t>
            </m:r>
          </m:sub>
        </m:sSub>
        <m:r>
          <m:rPr>
            <m:sty m:val="p"/>
          </m:rPr>
          <m:t>=</m:t>
        </m:r>
        <m:sSub>
          <m:e>
            <m:r>
              <m:t>μ</m:t>
            </m:r>
          </m:e>
          <m:sub>
            <m:r>
              <m:t>ϕ</m:t>
            </m:r>
          </m:sub>
        </m:sSub>
        <m:r>
          <m:rPr>
            <m:sty m:val="p"/>
          </m:rPr>
          <m:t>+</m:t>
        </m:r>
        <m:sSub>
          <m:e>
            <m:r>
              <m:t>μ</m:t>
            </m:r>
          </m:e>
          <m:sub>
            <m:r>
              <m:t>ω</m:t>
            </m:r>
          </m:sub>
        </m:sSub>
      </m:oMath>
      <w:r>
        <w:t xml:space="preserve">,</w:t>
      </w:r>
      <w:r>
        <w:t xml:space="preserve"> </w:t>
      </w:r>
      <w:r>
        <w:t xml:space="preserve">where</w:t>
      </w:r>
      <w:r>
        <w:br/>
      </w:r>
      <m:oMath>
        <m:sSub>
          <m:e>
            <m:r>
              <m:t>μ</m:t>
            </m:r>
          </m:e>
          <m:sub>
            <m:r>
              <m:t>ϕ</m:t>
            </m:r>
          </m:sub>
        </m:sSub>
      </m:oMath>
      <w:r>
        <w:t xml:space="preserve"> </w:t>
      </w:r>
      <w:r>
        <w:t xml:space="preserve">is the mortality rate by physical injury and</w:t>
      </w:r>
      <w:r>
        <w:br/>
      </w:r>
      <m:oMath>
        <m:sSub>
          <m:e>
            <m:r>
              <m:t>μ</m:t>
            </m:r>
          </m:e>
          <m:sub>
            <m:r>
              <m:t>ω</m:t>
            </m:r>
          </m:sub>
        </m:sSub>
      </m:oMath>
      <w:r>
        <w:t xml:space="preserve"> </w:t>
      </w:r>
      <w:r>
        <w:t xml:space="preserve">is the mortality rate by chemical injury.</w:t>
      </w:r>
      <w:r>
        <w:br/>
      </w:r>
      <w:r>
        <w:t xml:space="preserve">Of the total waterhemp plants killed per each weed control event, the proportions of susceptible and herbicide-resistant plants are unknown.</w:t>
      </w:r>
      <w:r>
        <w:t xml:space="preserve"> </w:t>
      </w:r>
      <w:r>
        <w:t xml:space="preserve">Per each individual herbicide mechanism of action, I will use the following formula to partition the proportion of susceptible and resistant plants.</w:t>
      </w:r>
    </w:p>
    <w:p>
      <w:pPr>
        <w:pStyle w:val="BodyText"/>
      </w:pPr>
      <m:oMathPara>
        <m:oMathParaPr>
          <m:jc m:val="center"/>
        </m:oMathParaPr>
        <m:oMath>
          <m:sSub>
            <m:e>
              <m:r>
                <m:t>l</m:t>
              </m:r>
            </m:e>
            <m:sub>
              <m:r>
                <m:t>i</m:t>
              </m:r>
            </m:sub>
          </m:sSub>
          <m:r>
            <m:rPr>
              <m:sty m:val="p"/>
            </m:rPr>
            <m:t>=</m:t>
          </m:r>
          <m:r>
            <m:t>1</m:t>
          </m:r>
          <m:r>
            <m:rPr>
              <m:sty m:val="p"/>
            </m:rPr>
            <m:t>+</m:t>
          </m:r>
          <m:sSub>
            <m:e>
              <m:r>
                <m:t>R</m:t>
              </m:r>
            </m:e>
            <m:sub>
              <m:r>
                <m:t>m</m:t>
              </m:r>
            </m:sub>
          </m:sSub>
          <m:r>
            <m:rPr>
              <m:sty m:val="p"/>
            </m:rPr>
            <m:t>−</m:t>
          </m:r>
          <m:sSub>
            <m:e>
              <m:r>
                <m:t>μ</m:t>
              </m:r>
            </m:e>
            <m:sub>
              <m:r>
                <m:t>ϕ</m:t>
              </m:r>
            </m:sub>
          </m:sSub>
        </m:oMath>
      </m:oMathPara>
    </w:p>
    <w:p>
      <w:pPr>
        <w:pStyle w:val="FirstParagraph"/>
      </w:pPr>
      <m:oMath>
        <m:sSub>
          <m:e>
            <m:r>
              <m:t>R</m:t>
            </m:r>
          </m:e>
          <m:sub>
            <m:r>
              <m:t>m</m:t>
            </m:r>
          </m:sub>
        </m:sSub>
      </m:oMath>
      <w:r>
        <w:t xml:space="preserve"> </w:t>
      </w:r>
      <w:r>
        <w:t xml:space="preserve">is the resistance rate against a particular herbicide mechanism of action (Table 4.1).</w:t>
      </w:r>
    </w:p>
    <w:bookmarkEnd w:id="26"/>
    <w:bookmarkEnd w:id="27"/>
    <w:bookmarkStart w:id="28" w:name="fecundity"/>
    <w:p>
      <w:pPr>
        <w:pStyle w:val="Heading4"/>
      </w:pPr>
      <w:r>
        <w:t xml:space="preserve">Fecundity</w:t>
      </w:r>
    </w:p>
    <w:p>
      <w:pPr>
        <w:pStyle w:val="FirstParagraph"/>
      </w:pPr>
      <w:r>
        <w:t xml:space="preserve">The diagonal of the top left section of the fecundity matrix</w:t>
      </w:r>
      <w:r>
        <w:t xml:space="preserve"> </w:t>
      </w:r>
      <m:oMath>
        <m:r>
          <m:t>F</m:t>
        </m:r>
      </m:oMath>
      <w:r>
        <w:t xml:space="preserve"> </w:t>
      </w:r>
      <w:r>
        <w:t xml:space="preserve">are 1’s.</w:t>
      </w:r>
      <w:r>
        <w:t xml:space="preserve"> </w:t>
      </w:r>
      <w:r>
        <w:t xml:space="preserve">The diagonal of the bottom right section of the female plant fecundity matrix</w:t>
      </w:r>
      <w:r>
        <w:t xml:space="preserve"> </w:t>
      </w:r>
      <m:oMath>
        <m:r>
          <m:t>F</m:t>
        </m:r>
      </m:oMath>
      <w:r>
        <w:t xml:space="preserve"> </w:t>
      </w:r>
      <w:r>
        <w:t xml:space="preserve">are cohort-specific fecundity.</w:t>
      </w:r>
      <w:r>
        <w:t xml:space="preserve"> </w:t>
      </w:r>
      <w:r>
        <w:t xml:space="preserve">Those numbers were obtained using the regression of plant biomass and fecundity.</w:t>
      </w:r>
      <w:r>
        <w:t xml:space="preserve"> </w:t>
      </w:r>
      <w:r>
        <w:t xml:space="preserve">Biomass data is provided in the</w:t>
      </w:r>
      <w:r>
        <w:t xml:space="preserve"> </w:t>
      </w:r>
      <w:r>
        <w:rPr>
          <w:bCs/>
          <w:b/>
        </w:rPr>
        <w:t xml:space="preserve">Supplementary Data</w:t>
      </w:r>
      <w:r>
        <w:t xml:space="preserve"> </w:t>
      </w:r>
      <w:r>
        <w:t xml:space="preserve">section</w:t>
      </w:r>
    </w:p>
    <w:p>
      <w:pPr>
        <w:pStyle w:val="BodyText"/>
      </w:pPr>
      <m:oMathPara>
        <m:oMathParaPr>
          <m:jc m:val="center"/>
        </m:oMathParaPr>
        <m:oMath>
          <m:r>
            <m:rPr>
              <m:sty m:val="b"/>
            </m:rPr>
            <m:t>F</m:t>
          </m:r>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r>
                      <m:t>1</m:t>
                    </m:r>
                  </m:e>
                  <m:e>
                    <m:r>
                      <m:t>0</m:t>
                    </m:r>
                  </m:e>
                  <m:e>
                    <m:sSub>
                      <m:e>
                        <m:r>
                          <m:t>f</m:t>
                        </m:r>
                      </m:e>
                      <m:sub>
                        <m:r>
                          <m:t>1</m:t>
                        </m:r>
                      </m:sub>
                    </m:sSub>
                  </m:e>
                  <m:e>
                    <m:sSub>
                      <m:e>
                        <m:r>
                          <m:t>f</m:t>
                        </m:r>
                      </m:e>
                      <m:sub>
                        <m:r>
                          <m:t>2</m:t>
                        </m:r>
                      </m:sub>
                    </m:sSub>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sSub>
                      <m:e>
                        <m:r>
                          <m:t>f</m:t>
                        </m:r>
                      </m:e>
                      <m:sub>
                        <m:r>
                          <m:t>6</m:t>
                        </m:r>
                      </m:sub>
                    </m:sSub>
                  </m:e>
                </m:mr>
                <m:mr>
                  <m:e>
                    <m:r>
                      <m:t>0</m:t>
                    </m:r>
                  </m:e>
                  <m:e>
                    <m:r>
                      <m:t>1</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e>
                    <m:r>
                      <m:t>0</m:t>
                    </m:r>
                  </m:e>
                </m:mr>
              </m:m>
            </m:e>
          </m:d>
        </m:oMath>
      </m:oMathPara>
    </w:p>
    <w:p>
      <w:pPr>
        <w:pStyle w:val="FirstParagraph"/>
      </w:pPr>
      <w:r>
        <w:t xml:space="preserve">Female plant size at maturity was evaluated on an individual basis in 2019 only, using the same plants in the cohort survival survey. At the end of the season, each plant were sexed and dried separately. The sex ratio, female plant size and fecundity were reported in another manuscript. The eighteen established equations for fecundity calculation from aboveground mass will be used in matrix</w:t>
      </w:r>
      <w:r>
        <w:t xml:space="preserve"> </w:t>
      </w:r>
      <m:oMath>
        <m:r>
          <m:t>F</m:t>
        </m:r>
      </m:oMath>
      <w:r>
        <w:t xml:space="preserve"> </w:t>
      </w:r>
      <w:r>
        <w:t xml:space="preserve">with the assumption that the reproductive potential in different cohorts are driven by plant size only. For example,</w:t>
      </w:r>
      <w:r>
        <w:t xml:space="preserve"> </w:t>
      </w:r>
      <m:oMath>
        <m:sSub>
          <m:e>
            <m:r>
              <m:t>f</m:t>
            </m:r>
          </m:e>
          <m:sub>
            <m:r>
              <m:t>1</m:t>
            </m:r>
          </m:sub>
        </m:sSub>
      </m:oMath>
      <w:r>
        <w:t xml:space="preserve"> </w:t>
      </w:r>
      <w:r>
        <w:t xml:space="preserve">to</w:t>
      </w:r>
      <w:r>
        <w:t xml:space="preserve"> </w:t>
      </w:r>
      <m:oMath>
        <m:sSub>
          <m:e>
            <m:r>
              <m:t>f</m:t>
            </m:r>
          </m:e>
          <m:sub>
            <m:r>
              <m:t>6</m:t>
            </m:r>
          </m:sub>
        </m:sSub>
      </m:oMath>
      <w:r>
        <w:t xml:space="preserve"> </w:t>
      </w:r>
      <w:r>
        <w:t xml:space="preserve">within the 2-year corn under conventional weed management (C2 conv) will be calculated from one equation that is associated to</w:t>
      </w:r>
      <w:r>
        <w:t xml:space="preserve"> </w:t>
      </w:r>
      <w:r>
        <w:t xml:space="preserve">“</w:t>
      </w:r>
      <w:r>
        <w:t xml:space="preserve">C2 conv.</w:t>
      </w:r>
      <w:r>
        <w:t xml:space="preserve">”</w:t>
      </w:r>
    </w:p>
    <w:bookmarkEnd w:id="28"/>
    <w:bookmarkStart w:id="29" w:name="X136a93432461c9a36a62b8e10ae759642e38201"/>
    <w:p>
      <w:pPr>
        <w:pStyle w:val="Heading4"/>
      </w:pPr>
      <w:r>
        <w:t xml:space="preserve">Vertical redistribution of newly produced seeds to the soil seedbank</w:t>
      </w:r>
    </w:p>
    <w:p>
      <w:pPr>
        <w:pStyle w:val="FirstParagraph"/>
      </w:pPr>
      <w:r>
        <w:t xml:space="preserve">Fall tillage, if applied, is implemented after the completion of crop harvest, weed biomass, and soil seedbank density surveys.</w:t>
      </w:r>
      <w:r>
        <w:t xml:space="preserve"> </w:t>
      </w:r>
      <w:r>
        <w:t xml:space="preserve">The current soil seedbank distribution by the depth and by seed age in the experiment site are unknown.</w:t>
      </w:r>
      <w:r>
        <w:t xml:space="preserve"> </w:t>
      </w:r>
      <w:r>
        <w:t xml:space="preserve">In fall 2019, we collected soil cores for seedbank densities estimation at two soil strata, 0-2cm as the top (1), and 2-20 cm depth as the bottom (2).</w:t>
      </w:r>
    </w:p>
    <w:p>
      <w:pPr>
        <w:pStyle w:val="BodyText"/>
      </w:pPr>
      <w:r>
        <w:t xml:space="preserve">The redistribution of female seeds that were produced at the end of the crop season is calculated per each crop phase under each rotation using the transition matrices corresponding to each tillage regime by Spokas et al.</w:t>
      </w:r>
      <w:r>
        <w:t xml:space="preserve"> </w:t>
      </w:r>
      <w:r>
        <w:t xml:space="preserve">(</w:t>
      </w:r>
      <w:r>
        <w:rPr>
          <w:bCs/>
          <w:b/>
        </w:rPr>
        <w:t xml:space="preserve">spokasSeedChaserVerticalSoil2007?</w:t>
      </w:r>
      <w:r>
        <w:t xml:space="preserve">)</w:t>
      </w:r>
      <w:r>
        <w:t xml:space="preserve">.</w:t>
      </w:r>
      <w:r>
        <w:t xml:space="preserve"> </w:t>
      </w:r>
      <w:r>
        <w:t xml:space="preserve">No-till is represented by an identical matrix after Cousens and Mortimer</w:t>
      </w:r>
      <w:r>
        <w:t xml:space="preserve"> </w:t>
      </w:r>
      <w:r>
        <w:t xml:space="preserve">(</w:t>
      </w:r>
      <w:r>
        <w:rPr>
          <w:bCs/>
          <w:b/>
        </w:rPr>
        <w:t xml:space="preserve">cousensModelEffectsCultivation1990?</w:t>
      </w:r>
      <w:r>
        <w:t xml:space="preserve">)</w:t>
      </w:r>
      <w:r>
        <w:t xml:space="preserve">.</w:t>
      </w:r>
    </w:p>
    <w:p>
      <w:pPr>
        <w:pStyle w:val="BodyText"/>
      </w:pPr>
      <m:oMathPara>
        <m:oMathParaPr>
          <m:jc m:val="center"/>
        </m:oMathParaPr>
        <m:oMath>
          <m:r>
            <m:rPr>
              <m:sty m:val="b"/>
            </m:rPr>
            <m:t>T</m:t>
          </m:r>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sSub>
                      <m:e>
                        <m:r>
                          <m:t>t</m:t>
                        </m:r>
                      </m:e>
                      <m:sub>
                        <m:r>
                          <m:t>11</m:t>
                        </m:r>
                      </m:sub>
                    </m:sSub>
                  </m:e>
                  <m:e>
                    <m:sSub>
                      <m:e>
                        <m:r>
                          <m:t>t</m:t>
                        </m:r>
                      </m:e>
                      <m:sub>
                        <m:r>
                          <m:t>21</m:t>
                        </m:r>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sSub>
                      <m:e>
                        <m:r>
                          <m:t>t</m:t>
                        </m:r>
                      </m:e>
                      <m:sub>
                        <m:r>
                          <m:t>12</m:t>
                        </m:r>
                      </m:sub>
                    </m:sSub>
                  </m:e>
                  <m:e>
                    <m:sSub>
                      <m:e>
                        <m:r>
                          <m:t>t</m:t>
                        </m:r>
                      </m:e>
                      <m:sub>
                        <m:r>
                          <m:t>22</m:t>
                        </m:r>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
            </m:e>
          </m:d>
        </m:oMath>
      </m:oMathPara>
    </w:p>
    <w:p>
      <w:pPr>
        <w:pStyle w:val="FirstParagraph"/>
      </w:pPr>
      <w:r>
        <w:br/>
      </w:r>
      <w:r>
        <w:t xml:space="preserve">where,</w:t>
      </w:r>
      <w:r>
        <w:br/>
      </w:r>
      <m:oMath>
        <m:sSub>
          <m:e>
            <m:r>
              <m:t>t</m:t>
            </m:r>
          </m:e>
          <m:sub>
            <m:r>
              <m:t>u</m:t>
            </m:r>
            <m:r>
              <m:t>v</m:t>
            </m:r>
          </m:sub>
        </m:sSub>
      </m:oMath>
      <w:r>
        <w:t xml:space="preserve"> </w:t>
      </w:r>
      <w:r>
        <w:t xml:space="preserve">is the probability of a seed moving across strata for</w:t>
      </w:r>
      <w:r>
        <w:t xml:space="preserve"> </w:t>
      </w:r>
      <m:oMath>
        <m:r>
          <m:t>u</m:t>
        </m:r>
        <m:r>
          <m:rPr>
            <m:sty m:val="p"/>
          </m:rPr>
          <m:t>≠</m:t>
        </m:r>
        <m:r>
          <m:t>v</m:t>
        </m:r>
      </m:oMath>
      <w:r>
        <w:t xml:space="preserve"> </w:t>
      </w:r>
      <w:r>
        <w:t xml:space="preserve">and stay in the same stratum for</w:t>
      </w:r>
      <w:r>
        <w:t xml:space="preserve"> </w:t>
      </w:r>
      <m:oMath>
        <m:r>
          <m:t>u</m:t>
        </m:r>
        <m:r>
          <m:rPr>
            <m:sty m:val="p"/>
          </m:rPr>
          <m:t>=</m:t>
        </m:r>
        <m:r>
          <m:t>v</m:t>
        </m:r>
      </m:oMath>
      <w:r>
        <w:t xml:space="preserve">.</w:t>
      </w:r>
    </w:p>
    <w:bookmarkEnd w:id="29"/>
    <w:bookmarkStart w:id="33" w:name="overwinter-survival-rate"/>
    <w:p>
      <w:pPr>
        <w:pStyle w:val="Heading4"/>
      </w:pPr>
      <w:r>
        <w:t xml:space="preserve">Overwinter survival rate</w:t>
      </w:r>
    </w:p>
    <w:p>
      <w:pPr>
        <w:pStyle w:val="FirstParagraph"/>
      </w:pPr>
      <w:r>
        <w:t xml:space="preserve">The diagonal of the top left section of each matrix</w:t>
      </w:r>
      <w:r>
        <w:t xml:space="preserve"> </w:t>
      </w:r>
      <m:oMath>
        <m:r>
          <m:t>O</m:t>
        </m:r>
      </m:oMath>
      <w:r>
        <w:t xml:space="preserve"> </w:t>
      </w:r>
      <w:r>
        <w:t xml:space="preserve">describes the overwinter survival probability of seeds at the top (0-2cm) and bottom (2-20cm) strata.</w:t>
      </w:r>
    </w:p>
    <w:p>
      <w:pPr>
        <w:pStyle w:val="BodyText"/>
      </w:pPr>
      <m:oMathPara>
        <m:oMathParaPr>
          <m:jc m:val="center"/>
        </m:oMathParaPr>
        <m:oMath>
          <m:r>
            <m:rPr>
              <m:sty m:val="b"/>
            </m:rPr>
            <m:t>O</m:t>
          </m:r>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sSub>
                      <m:e>
                        <m:r>
                          <m:t>o</m:t>
                        </m:r>
                      </m:e>
                      <m:sub>
                        <m:r>
                          <m:t>1</m:t>
                        </m:r>
                      </m:sub>
                    </m:sSub>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sSub>
                      <m:e>
                        <m:r>
                          <m:t>o</m:t>
                        </m:r>
                      </m:e>
                      <m:sub>
                        <m:r>
                          <m:t>2</m:t>
                        </m:r>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
            </m:e>
          </m:d>
        </m:oMath>
      </m:oMathPara>
    </w:p>
    <w:p>
      <w:pPr>
        <w:pStyle w:val="FirstParagraph"/>
      </w:pPr>
      <w:r>
        <w:t xml:space="preserve">In this matrix, I used</w:t>
      </w:r>
      <w:r>
        <w:t xml:space="preserve"> </w:t>
      </w:r>
      <m:oMath>
        <m:sSub>
          <m:e>
            <m:r>
              <m:t>o</m:t>
            </m:r>
          </m:e>
          <m:sub>
            <m:r>
              <m:t>1</m:t>
            </m:r>
          </m:sub>
        </m:sSub>
        <m:r>
          <m:rPr>
            <m:sty m:val="p"/>
          </m:rPr>
          <m:t>=</m:t>
        </m:r>
        <m:r>
          <m:t>y</m:t>
        </m:r>
        <m:r>
          <m:rPr>
            <m:sty m:val="p"/>
          </m:rPr>
          <m:t>=</m:t>
        </m:r>
        <m:r>
          <m:t>98.9</m:t>
        </m:r>
        <m:r>
          <m:t>e</m:t>
        </m:r>
        <m:r>
          <m:t>x</m:t>
        </m:r>
        <m:r>
          <m:t>p</m:t>
        </m:r>
        <m:d>
          <m:dPr>
            <m:begChr m:val="("/>
            <m:endChr m:val=")"/>
            <m:sepChr m:val=""/>
            <m:grow/>
          </m:dPr>
          <m:e>
            <m:r>
              <m:rPr>
                <m:sty m:val="p"/>
              </m:rPr>
              <m:t>−</m:t>
            </m:r>
            <m:r>
              <m:t>0.068</m:t>
            </m:r>
            <m:r>
              <m:t>x</m:t>
            </m:r>
          </m:e>
        </m:d>
        <m:r>
          <m:rPr>
            <m:sty m:val="p"/>
          </m:rPr>
          <m:t>%</m:t>
        </m:r>
      </m:oMath>
      <w:r>
        <w:t xml:space="preserve"> </w:t>
      </w:r>
      <w:r>
        <w:t xml:space="preserve">and</w:t>
      </w:r>
      <w:r>
        <w:t xml:space="preserve"> </w:t>
      </w:r>
      <m:oMath>
        <m:sSub>
          <m:e>
            <m:r>
              <m:t>o</m:t>
            </m:r>
          </m:e>
          <m:sub>
            <m:r>
              <m:t>2</m:t>
            </m:r>
          </m:sub>
        </m:sSub>
        <m:r>
          <m:rPr>
            <m:sty m:val="p"/>
          </m:rPr>
          <m:t>=</m:t>
        </m:r>
        <m:r>
          <m:t>y</m:t>
        </m:r>
        <m:r>
          <m:rPr>
            <m:sty m:val="p"/>
          </m:rPr>
          <m:t>=</m:t>
        </m:r>
        <m:r>
          <m:t>99.5</m:t>
        </m:r>
        <m:r>
          <m:t>e</m:t>
        </m:r>
        <m:r>
          <m:t>x</m:t>
        </m:r>
        <m:r>
          <m:t>p</m:t>
        </m:r>
        <m:d>
          <m:dPr>
            <m:begChr m:val="("/>
            <m:endChr m:val=")"/>
            <m:sepChr m:val=""/>
            <m:grow/>
          </m:dPr>
          <m:e>
            <m:r>
              <m:rPr>
                <m:sty m:val="p"/>
              </m:rPr>
              <m:t>−</m:t>
            </m:r>
            <m:r>
              <m:t>0.05</m:t>
            </m:r>
            <m:r>
              <m:t>x</m:t>
            </m:r>
          </m:e>
        </m:d>
        <m:r>
          <m:rPr>
            <m:sty m:val="p"/>
          </m:rPr>
          <m:t>%</m:t>
        </m:r>
      </m:oMath>
      <w:r>
        <w:t xml:space="preserve"> </w:t>
      </w:r>
      <w:r>
        <w:t xml:space="preserve">with</w:t>
      </w:r>
      <w:r>
        <w:t xml:space="preserve"> </w:t>
      </w:r>
      <m:oMath>
        <m:r>
          <m:t>x</m:t>
        </m:r>
        <m:r>
          <m:rPr>
            <m:sty m:val="p"/>
          </m:rPr>
          <m:t>=</m:t>
        </m:r>
        <m:r>
          <m:t>6</m:t>
        </m:r>
      </m:oMath>
      <w:r>
        <w:t xml:space="preserve"> </w:t>
      </w:r>
      <w:r>
        <w:t xml:space="preserve">months from Figures 1 and 3 in</w:t>
      </w:r>
      <w:r>
        <w:t xml:space="preserve"> </w:t>
      </w:r>
      <w:r>
        <w:t xml:space="preserve">(</w:t>
      </w:r>
      <w:r>
        <w:rPr>
          <w:bCs/>
          <w:b/>
        </w:rPr>
        <w:t xml:space="preserve">sosnoskieGlyphosateResistanceDoes2013?</w:t>
      </w:r>
      <w:r>
        <w:t xml:space="preserve">)</w:t>
      </w:r>
      <w:r>
        <w:t xml:space="preserve">, respectively. The crop-specific overwinter survival rate was extrapolated from the third data point in each figure. The maximum values was used for crop phases that were followed by notill, means for ones followed by chisel, and minimum for ones followed by moldboard. That extrapolation was based on the assumption that the more aggressive the tillage regime is, the less granivory activities are disturbed.</w:t>
      </w:r>
      <w:r>
        <w:br/>
      </w:r>
      <w:r>
        <w:t xml:space="preserve">Seed granivory results are highly dependent on specific field conditions</w:t>
      </w:r>
      <w:r>
        <w:t xml:space="preserve"> </w:t>
      </w:r>
      <w:r>
        <w:t xml:space="preserve">(</w:t>
      </w:r>
      <w:r>
        <w:rPr>
          <w:bCs/>
          <w:b/>
        </w:rPr>
        <w:t xml:space="preserve">vanderlaatPostdispersalWeedSeed2015?</w:t>
      </w:r>
      <w:r>
        <w:t xml:space="preserve">;</w:t>
      </w:r>
      <w:r>
        <w:t xml:space="preserve"> </w:t>
      </w:r>
      <w:r>
        <w:rPr>
          <w:bCs/>
          <w:b/>
        </w:rPr>
        <w:t xml:space="preserve">forcellaDebitingSeedbankPriorities2003?</w:t>
      </w:r>
      <w:r>
        <w:t xml:space="preserve">)</w:t>
      </w:r>
      <w:r>
        <w:t xml:space="preserve"> </w:t>
      </w:r>
      <w:r>
        <w:t xml:space="preserve">so seed granivory will be used as a varying parameter in the model.</w:t>
      </w:r>
    </w:p>
    <w:p>
      <w:pPr>
        <w:pStyle w:val="BodyText"/>
      </w:pPr>
      <w:r>
        <w:t xml:space="preserve">Two main sources of seed mortality, which are seed decay rate and seed predation rate, are very challenging to quantify exactly. Therefore, these rates will be incorporated in the model in ranges that are appropriate for waterhemp. For example, different scenarios of post-harvest seed consumption by gravivores can be 10% to 90% of the freshly produced seeds.</w:t>
      </w:r>
    </w:p>
    <w:bookmarkStart w:id="32" w:name="refs"/>
    <w:bookmarkStart w:id="31" w:name="ref-dessaintPrecisionSoilSeedbank1996"/>
    <w:p>
      <w:pPr>
        <w:pStyle w:val="Bibliography"/>
      </w:pPr>
      <w:r>
        <w:t xml:space="preserve">Dessaint, F., G. Barralis, M. L. Caixinhas, J.-P. Mayor, J. Recasens, and G. Zanin. 1996.</w:t>
      </w:r>
      <w:r>
        <w:t xml:space="preserve"> </w:t>
      </w:r>
      <w:r>
        <w:t xml:space="preserve">“Precision of Soil Seedbank Sampling: How Many Soil Cores?”</w:t>
      </w:r>
      <w:r>
        <w:t xml:space="preserve"> </w:t>
      </w:r>
      <w:r>
        <w:rPr>
          <w:iCs/>
          <w:i/>
        </w:rPr>
        <w:t xml:space="preserve">Weed Research</w:t>
      </w:r>
      <w:r>
        <w:t xml:space="preserve"> </w:t>
      </w:r>
      <w:r>
        <w:t xml:space="preserve">36 (2): 143–51.</w:t>
      </w:r>
      <w:r>
        <w:t xml:space="preserve"> </w:t>
      </w:r>
      <w:hyperlink r:id="rId30">
        <w:r>
          <w:rPr>
            <w:rStyle w:val="Hyperlink"/>
          </w:rPr>
          <w:t xml:space="preserve">https://doi.org/dtkg8b</w:t>
        </w:r>
      </w:hyperlink>
      <w:r>
        <w:t xml:space="preserve">.</w:t>
      </w:r>
    </w:p>
    <w:bookmarkEnd w:id="31"/>
    <w:bookmarkEnd w:id="32"/>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doi.org/dtkg8b" TargetMode="External" /></Relationships>
</file>

<file path=word/_rels/footnotes.xml.rels><?xml version="1.0" encoding="UTF-8"?><Relationships xmlns="http://schemas.openxmlformats.org/package/2006/relationships"><Relationship Type="http://schemas.openxmlformats.org/officeDocument/2006/relationships/hyperlink" Id="rId30" Target="https://doi.org/dtkg8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dynamics of common waterhemp (Amaranthus tuberculatus) in simple and more diversified cropping systems: a prospective analysis</dc:title>
  <dc:creator/>
  <cp:keywords/>
  <dcterms:created xsi:type="dcterms:W3CDTF">2021-10-21T01:23:35Z</dcterms:created>
  <dcterms:modified xsi:type="dcterms:W3CDTF">2021-10-21T01:23:35Z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cell</vt:lpwstr>
  </property>
  <property fmtid="{D5CDD505-2E9C-101B-9397-08002B2CF9AE}" pid="3" name="bibliography">
    <vt:lpwstr>propo.bib</vt:lpwstr>
  </property>
  <property fmtid="{D5CDD505-2E9C-101B-9397-08002B2CF9AE}" pid="4" name="date">
    <vt:lpwstr>October 20, 2021</vt:lpwstr>
  </property>
  <property fmtid="{D5CDD505-2E9C-101B-9397-08002B2CF9AE}" pid="5" name="output">
    <vt:lpwstr/>
  </property>
  <property fmtid="{D5CDD505-2E9C-101B-9397-08002B2CF9AE}" pid="6" name="sansfont">
    <vt:lpwstr>Georgia</vt:lpwstr>
  </property>
</Properties>
</file>