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0000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0000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0000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22D4C03" w:rsidR="005550BE" w:rsidRPr="009F1439" w:rsidRDefault="000000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2D216E48" w:rsidR="005550BE" w:rsidRPr="009F1439" w:rsidRDefault="000000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by fall tillage (Davis and Liebman, 2003). Cool-season crops, such as oat (</w:t>
      </w:r>
      <w:r w:rsidRPr="009F1439">
        <w:rPr>
          <w:i/>
          <w:iCs/>
          <w:color w:val="000000" w:themeColor="text1"/>
        </w:rPr>
        <w:t>Avena sativa</w:t>
      </w:r>
      <w:r w:rsidRPr="009F1439">
        <w:rPr>
          <w:color w:val="000000" w:themeColor="text1"/>
        </w:rPr>
        <w:t xml:space="preserve"> L.), red clover can be planted </w:t>
      </w:r>
      <w:r w:rsidR="00832CB1" w:rsidRPr="009F1439">
        <w:rPr>
          <w:color w:val="000000" w:themeColor="text1"/>
        </w:rPr>
        <w:t xml:space="preserve">in </w:t>
      </w:r>
      <w:r w:rsidRPr="009F1439">
        <w:rPr>
          <w:color w:val="000000" w:themeColor="text1"/>
        </w:rPr>
        <w:t>early spring,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0000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w:t>
      </w:r>
      <w:r w:rsidRPr="009F1439">
        <w:rPr>
          <w:color w:val="000000" w:themeColor="text1"/>
        </w:rPr>
        <w:lastRenderedPageBreak/>
        <w:t xml:space="preserve">cover crop would provide minimal suppression of waterhemp population densities. To 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0BF88182" w:rsidR="005550BE" w:rsidRPr="009F1439" w:rsidRDefault="00000000" w:rsidP="00F05379">
      <w:pPr>
        <w:pStyle w:val="BodyText"/>
        <w:spacing w:line="480" w:lineRule="auto"/>
        <w:rPr>
          <w:color w:val="000000" w:themeColor="text1"/>
        </w:rPr>
      </w:pPr>
      <w:r w:rsidRPr="009F1439">
        <w:rPr>
          <w:color w:val="000000" w:themeColor="text1"/>
        </w:rPr>
        <w:t xml:space="preserve">We employed a periodic matrix model (Caswell, 2001; Cousens and Mortimer, 1995) to study waterhemp population dynamics to accommodate the examination of the effect of various events, i.e., crop management activities, that occur throughout the life cycle of waterhemp on the population change rate,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The waterhemp populations in our study were depth-structured for the soil seedbank and cohort-structured for plants to accommodate the variation in seed survival (Buhler and Hartzler, 2001; Yenish et al., 1992) and emergence rates (Werle et al., 2014) from different depths, plant survival rates, plant size, and fecundity of different cohorts (Hartzler et al., 2004; Nordby and Hartzler, 2004).</w:t>
      </w:r>
    </w:p>
    <w:p w14:paraId="60C309EC" w14:textId="64F09EC7"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00E81D08" w:rsidR="005550BE" w:rsidRPr="009F1439" w:rsidRDefault="00000000" w:rsidP="00F05379">
      <w:pPr>
        <w:pStyle w:val="BodyText"/>
        <w:spacing w:line="480" w:lineRule="auto"/>
        <w:rPr>
          <w:color w:val="000000" w:themeColor="text1"/>
        </w:rPr>
      </w:pPr>
      <w:r w:rsidRPr="009F1439">
        <w:rPr>
          <w:color w:val="000000" w:themeColor="text1"/>
        </w:rPr>
        <w:t xml:space="preserve">This study examined how waterhemp population dynamics might </w:t>
      </w:r>
      <w:r w:rsidR="00832CB1" w:rsidRPr="009F1439">
        <w:rPr>
          <w:color w:val="000000" w:themeColor="text1"/>
        </w:rPr>
        <w:t>change</w:t>
      </w:r>
      <w:r w:rsidRPr="009F1439">
        <w:rPr>
          <w:color w:val="000000" w:themeColor="text1"/>
        </w:rPr>
        <w:t xml:space="preserve"> in </w:t>
      </w:r>
      <w:proofErr w:type="gramStart"/>
      <w:r w:rsidRPr="009F1439">
        <w:rPr>
          <w:color w:val="000000" w:themeColor="text1"/>
        </w:rPr>
        <w:t>cool-season</w:t>
      </w:r>
      <w:proofErr w:type="gramEnd"/>
      <w:r w:rsidRPr="009F1439">
        <w:rPr>
          <w:color w:val="000000" w:themeColor="text1"/>
        </w:rPr>
        <w:t xml:space="preserve"> crops suitable for the Midwestern USA climates, such as oat, red clover, and alfalfa. The modeling approach here combines demographic parameters from the literature </w:t>
      </w:r>
      <w:r w:rsidR="00832CB1" w:rsidRPr="009F1439">
        <w:rPr>
          <w:color w:val="000000" w:themeColor="text1"/>
        </w:rPr>
        <w:t>and</w:t>
      </w:r>
      <w:r w:rsidRPr="009F1439">
        <w:rPr>
          <w:color w:val="000000" w:themeColor="text1"/>
        </w:rPr>
        <w:t xml:space="preserve"> </w:t>
      </w:r>
      <w:r w:rsidRPr="009F1439">
        <w:rPr>
          <w:color w:val="000000" w:themeColor="text1"/>
        </w:rPr>
        <w:lastRenderedPageBreak/>
        <w:t xml:space="preserve">empirical data from our </w:t>
      </w:r>
      <w:r w:rsidR="00832CB1" w:rsidRPr="009F1439">
        <w:rPr>
          <w:color w:val="000000" w:themeColor="text1"/>
        </w:rPr>
        <w:t>fieldwork</w:t>
      </w:r>
      <w:r w:rsidRPr="009F1439">
        <w:rPr>
          <w:color w:val="000000" w:themeColor="text1"/>
        </w:rPr>
        <w:t xml:space="preserve">. We hypothesized that extending a conventional 2-year rotation of corn and soybean with cool-season crops 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000000" w:rsidP="00F05379">
      <w:pPr>
        <w:pStyle w:val="Heading1"/>
        <w:spacing w:line="480" w:lineRule="auto"/>
        <w:rPr>
          <w:color w:val="000000" w:themeColor="text1"/>
        </w:rPr>
      </w:pPr>
      <w:bookmarkStart w:id="1" w:name="materials-and-methods"/>
      <w:bookmarkEnd w:id="0"/>
      <w:r w:rsidRPr="009F1439">
        <w:rPr>
          <w:color w:val="000000" w:themeColor="text1"/>
        </w:rPr>
        <w:t>Materials and methods</w:t>
      </w:r>
    </w:p>
    <w:p w14:paraId="3FBB27E0" w14:textId="77777777" w:rsidR="005550BE" w:rsidRPr="009F1439" w:rsidRDefault="00000000" w:rsidP="00F05379">
      <w:pPr>
        <w:pStyle w:val="Heading3"/>
        <w:spacing w:line="480" w:lineRule="auto"/>
        <w:rPr>
          <w:color w:val="000000" w:themeColor="text1"/>
        </w:rPr>
      </w:pPr>
      <w:bookmarkStart w:id="2" w:name="experiment-design"/>
      <w:r w:rsidRPr="009F1439">
        <w:rPr>
          <w:color w:val="000000" w:themeColor="text1"/>
        </w:rPr>
        <w:t>Experiment design</w:t>
      </w:r>
    </w:p>
    <w:p w14:paraId="09F5843C" w14:textId="67CC0812" w:rsidR="005550BE" w:rsidRPr="009F1439" w:rsidRDefault="00000000" w:rsidP="00F05379">
      <w:pPr>
        <w:pStyle w:val="FirstParagraph"/>
        <w:spacing w:line="480" w:lineRule="auto"/>
        <w:rPr>
          <w:color w:val="000000" w:themeColor="text1"/>
        </w:rPr>
      </w:pPr>
      <w:r w:rsidRPr="009F1439">
        <w:rPr>
          <w:color w:val="000000" w:themeColor="text1"/>
        </w:rPr>
        <w:t>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three rotation systems</w:t>
      </w:r>
      <w:r w:rsidR="00832CB1" w:rsidRPr="009F1439">
        <w:rPr>
          <w:color w:val="000000" w:themeColor="text1"/>
        </w:rPr>
        <w:t>.</w:t>
      </w:r>
      <w:r w:rsidRPr="009F1439">
        <w:rPr>
          <w:color w:val="000000" w:themeColor="text1"/>
        </w:rPr>
        <w:t xml:space="preserve"> The rotation systems used in this study included 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1528D48E" w:rsidR="005550BE" w:rsidRPr="009F1439" w:rsidRDefault="00000000" w:rsidP="00F05379">
      <w:pPr>
        <w:pStyle w:val="BodyText"/>
        <w:spacing w:line="480" w:lineRule="auto"/>
        <w:rPr>
          <w:color w:val="000000" w:themeColor="text1"/>
        </w:rPr>
      </w:pPr>
      <w:proofErr w:type="gramStart"/>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w:t>
      </w:r>
      <w:proofErr w:type="gramEnd"/>
      <w:r w:rsidRPr="009F1439">
        <w:rPr>
          <w:color w:val="000000" w:themeColor="text1"/>
        </w:rPr>
        <w:t xml:space="preserve"> and Liebman (2022a), but </w:t>
      </w:r>
      <w:r w:rsidR="00D40130" w:rsidRPr="009F1439">
        <w:rPr>
          <w:color w:val="000000" w:themeColor="text1"/>
        </w:rPr>
        <w:t>a more explicit description</w:t>
      </w:r>
      <w:r w:rsidRPr="009F1439">
        <w:rPr>
          <w:color w:val="000000" w:themeColor="text1"/>
        </w:rPr>
        <w:t xml:space="preserve"> </w:t>
      </w:r>
      <w:r w:rsidR="00D40130" w:rsidRPr="009F1439">
        <w:rPr>
          <w:color w:val="000000" w:themeColor="text1"/>
        </w:rPr>
        <w:t xml:space="preserve">desc </w:t>
      </w:r>
      <w:r w:rsidRPr="009F1439">
        <w:rPr>
          <w:color w:val="000000" w:themeColor="text1"/>
        </w:rPr>
        <w:t>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w:t>
      </w:r>
      <w:r w:rsidRPr="009F1439">
        <w:rPr>
          <w:color w:val="000000" w:themeColor="text1"/>
        </w:rPr>
        <w:lastRenderedPageBreak/>
        <w:t xml:space="preserve">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0000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w:t>
      </w:r>
      <w:proofErr w:type="gramStart"/>
      <w:r w:rsidRPr="009F1439">
        <w:rPr>
          <w:i/>
          <w:iCs/>
          <w:color w:val="000000" w:themeColor="text1"/>
        </w:rPr>
        <w:t>blue</w:t>
      </w:r>
      <w:proofErr w:type="gramEnd"/>
      <w:r w:rsidRPr="009F1439">
        <w:rPr>
          <w:i/>
          <w:iCs/>
          <w:color w:val="000000" w:themeColor="text1"/>
        </w:rPr>
        <w:t xml:space="preserv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 xml:space="preserve">5% of the plants flowered. Red clover in the O3 </w:t>
      </w:r>
      <w:r w:rsidRPr="009F1439">
        <w:rPr>
          <w:i/>
          <w:iCs/>
          <w:color w:val="000000" w:themeColor="text1"/>
        </w:rPr>
        <w:lastRenderedPageBreak/>
        <w:t>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before 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000000" w:rsidP="00F05379">
      <w:pPr>
        <w:pStyle w:val="Heading3"/>
        <w:spacing w:line="480" w:lineRule="auto"/>
        <w:rPr>
          <w:color w:val="000000" w:themeColor="text1"/>
        </w:rPr>
      </w:pPr>
      <w:bookmarkStart w:id="3" w:name="data-collection-and-analysis"/>
      <w:bookmarkEnd w:id="2"/>
      <w:r w:rsidRPr="009F1439">
        <w:rPr>
          <w:color w:val="000000" w:themeColor="text1"/>
        </w:rPr>
        <w:t>Data collection and analysis</w:t>
      </w:r>
    </w:p>
    <w:p w14:paraId="64DA2A0A" w14:textId="6AC36A74" w:rsidR="005550BE" w:rsidRPr="009F1439" w:rsidRDefault="000000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 xml:space="preserve">a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000000" w:rsidP="00F05379">
      <w:pPr>
        <w:pStyle w:val="Heading4"/>
        <w:spacing w:line="480" w:lineRule="auto"/>
        <w:rPr>
          <w:color w:val="000000" w:themeColor="text1"/>
        </w:rPr>
      </w:pPr>
      <w:bookmarkStart w:id="4" w:name="Xa1c85300dfe06e14afaf988e432713c859ec4d5"/>
      <w:r w:rsidRPr="009F1439">
        <w:rPr>
          <w:color w:val="000000" w:themeColor="text1"/>
        </w:rPr>
        <w:t>Seed densities and seed fates in the soil seedbank</w:t>
      </w:r>
    </w:p>
    <w:p w14:paraId="29FA3E8C" w14:textId="7DA3ED3C" w:rsidR="005550BE" w:rsidRPr="009F1439" w:rsidRDefault="000000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r w:rsidR="001B5033" w:rsidRPr="009F1439">
        <w:rPr>
          <w:color w:val="000000" w:themeColor="text1"/>
        </w:rPr>
        <w:t xml:space="preserve"> (Ball and Miller, 1989)</w:t>
      </w:r>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 xml:space="preserve">classified as </w:t>
      </w:r>
      <w:r w:rsidR="0030128F" w:rsidRPr="009F1439">
        <w:rPr>
          <w:color w:val="000000" w:themeColor="text1"/>
        </w:rPr>
        <w:lastRenderedPageBreak/>
        <w:t>follows</w:t>
      </w:r>
      <w:r w:rsidRPr="009F1439">
        <w:rPr>
          <w:color w:val="000000" w:themeColor="text1"/>
        </w:rPr>
        <w:t xml:space="preserve">: germinated as readily germinable; firm and unyielding to forceps pressure as 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is 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000000" w:rsidP="00F05379">
      <w:pPr>
        <w:pStyle w:val="Heading4"/>
        <w:spacing w:line="480" w:lineRule="auto"/>
        <w:rPr>
          <w:color w:val="000000" w:themeColor="text1"/>
        </w:rPr>
      </w:pPr>
      <w:bookmarkStart w:id="5" w:name="seedling-emergence-pattern-and-timing"/>
      <w:bookmarkEnd w:id="4"/>
      <w:r w:rsidRPr="009F1439">
        <w:rPr>
          <w:color w:val="000000" w:themeColor="text1"/>
        </w:rPr>
        <w:t>Seedling emergence pattern and timing</w:t>
      </w:r>
    </w:p>
    <w:p w14:paraId="73443588" w14:textId="60482615" w:rsidR="005550BE" w:rsidRPr="009F1439" w:rsidRDefault="000000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0000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21EAA8FC" w:rsidR="005550BE" w:rsidRPr="009F1439" w:rsidRDefault="000000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The dates of first emergence detection in a crop identity were noted as the date that cohort 1 emerged in that crop identity.</w:t>
      </w:r>
    </w:p>
    <w:p w14:paraId="1F69D954" w14:textId="77777777" w:rsidR="005550BE" w:rsidRPr="009F1439" w:rsidRDefault="00000000" w:rsidP="00F05379">
      <w:pPr>
        <w:pStyle w:val="Heading4"/>
        <w:spacing w:line="480" w:lineRule="auto"/>
        <w:rPr>
          <w:color w:val="000000" w:themeColor="text1"/>
        </w:rPr>
      </w:pPr>
      <w:bookmarkStart w:id="6" w:name="Xec1ca302539727adf735d520d08ea70dc2deeb1"/>
      <w:bookmarkEnd w:id="5"/>
      <w:r w:rsidRPr="009F1439">
        <w:rPr>
          <w:color w:val="000000" w:themeColor="text1"/>
        </w:rPr>
        <w:lastRenderedPageBreak/>
        <w:t>Statistical analysis of the measured parameters</w:t>
      </w:r>
    </w:p>
    <w:p w14:paraId="30090634" w14:textId="42619760" w:rsidR="0030128F" w:rsidRPr="009F1439" w:rsidRDefault="00000000" w:rsidP="00F05379">
      <w:pPr>
        <w:pStyle w:val="FirstParagraph"/>
        <w:spacing w:line="480" w:lineRule="auto"/>
        <w:rPr>
          <w:color w:val="000000" w:themeColor="text1"/>
        </w:rPr>
      </w:pPr>
      <w:r w:rsidRPr="009F1439">
        <w:rPr>
          <w:color w:val="000000" w:themeColor="text1"/>
        </w:rPr>
        <w:t>All the response variables were analyzed with factorial mixed-effect models, in which crop identity (crop species in each rotation) was the main-plot effect, corn weed management 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0000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000000" w:rsidP="00F05379">
      <w:pPr>
        <w:pStyle w:val="Heading3"/>
        <w:spacing w:line="480" w:lineRule="auto"/>
        <w:rPr>
          <w:color w:val="000000" w:themeColor="text1"/>
        </w:rPr>
      </w:pPr>
      <w:bookmarkStart w:id="7" w:name="model-assumptions"/>
      <w:bookmarkEnd w:id="3"/>
      <w:bookmarkEnd w:id="6"/>
      <w:r w:rsidRPr="009F1439">
        <w:rPr>
          <w:color w:val="000000" w:themeColor="text1"/>
        </w:rPr>
        <w:t>Model assumptions</w:t>
      </w:r>
    </w:p>
    <w:p w14:paraId="6E3130F5" w14:textId="77777777" w:rsidR="00AF737C" w:rsidRPr="009F1439" w:rsidRDefault="00000000" w:rsidP="00F05379">
      <w:pPr>
        <w:pStyle w:val="FirstParagraph"/>
        <w:spacing w:line="480" w:lineRule="auto"/>
        <w:rPr>
          <w:color w:val="000000" w:themeColor="text1"/>
        </w:rPr>
        <w:sectPr w:rsidR="00AF737C" w:rsidRPr="009F1439">
          <w:footerReference w:type="even" r:id="rId8"/>
          <w:footerReference w:type="default" r:id="rId9"/>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0000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9F1439"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8" w:name="matrix-form"/>
      <w:bookmarkEnd w:id="7"/>
    </w:p>
    <w:p w14:paraId="54B4FCD1" w14:textId="77777777" w:rsidR="005550BE" w:rsidRPr="009F1439" w:rsidRDefault="000000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0000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0000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0000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are 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000000" w:rsidP="00F05379">
      <w:pPr>
        <w:pStyle w:val="Heading3"/>
        <w:spacing w:line="480" w:lineRule="auto"/>
        <w:rPr>
          <w:color w:val="000000" w:themeColor="text1"/>
        </w:rPr>
      </w:pPr>
      <w:bookmarkStart w:id="9" w:name="parameterization"/>
      <w:bookmarkEnd w:id="8"/>
      <w:r w:rsidRPr="009F1439">
        <w:rPr>
          <w:color w:val="000000" w:themeColor="text1"/>
        </w:rPr>
        <w:t>Parameterization</w:t>
      </w:r>
    </w:p>
    <w:p w14:paraId="65DEAAA1" w14:textId="4B621419" w:rsidR="005550BE" w:rsidRPr="009F1439" w:rsidRDefault="00000000" w:rsidP="00F05379">
      <w:pPr>
        <w:pStyle w:val="FirstParagraph"/>
        <w:spacing w:line="480" w:lineRule="auto"/>
        <w:rPr>
          <w:color w:val="000000" w:themeColor="text1"/>
        </w:rPr>
      </w:pPr>
      <w:r w:rsidRPr="009F1439">
        <w:rPr>
          <w:color w:val="000000" w:themeColor="text1"/>
        </w:rPr>
        <w:t>Waterhemp plant size is highly variable</w:t>
      </w:r>
      <w:r w:rsidR="00952336" w:rsidRPr="009F1439">
        <w:rPr>
          <w:color w:val="000000" w:themeColor="text1"/>
        </w:rPr>
        <w:t xml:space="preserve"> and consequently</w:t>
      </w:r>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A0BB846" w:rsidR="005550BE" w:rsidRPr="009F1439" w:rsidRDefault="00000000" w:rsidP="00F05379">
      <w:pPr>
        <w:pStyle w:val="BodyText"/>
        <w:spacing w:line="480" w:lineRule="auto"/>
        <w:rPr>
          <w:color w:val="000000" w:themeColor="text1"/>
        </w:rPr>
      </w:pPr>
      <w:r w:rsidRPr="009F1439">
        <w:rPr>
          <w:color w:val="000000" w:themeColor="text1"/>
        </w:rPr>
        <w:t xml:space="preserve">To accommodate the elasticity of plant size, two scenarios of population dynamics presented in this manuscript were distinguished by plant fecundity to examine the impact of different </w:t>
      </w:r>
      <w:r w:rsidR="006551F5" w:rsidRPr="009F1439">
        <w:rPr>
          <w:color w:val="000000" w:themeColor="text1"/>
        </w:rPr>
        <w:t xml:space="preserve">levels of </w:t>
      </w:r>
      <w:r w:rsidRPr="009F1439">
        <w:rPr>
          <w:color w:val="000000" w:themeColor="text1"/>
        </w:rPr>
        <w:t xml:space="preserve">control efficacy on population dynamics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because the emergence timing of the sampled plants </w:t>
      </w:r>
      <w:r w:rsidR="00C451E8" w:rsidRPr="009F1439">
        <w:rPr>
          <w:color w:val="000000" w:themeColor="text1"/>
        </w:rPr>
        <w:t>was</w:t>
      </w:r>
      <w:r w:rsidRPr="009F1439">
        <w:rPr>
          <w:color w:val="000000" w:themeColor="text1"/>
        </w:rPr>
        <w:t xml:space="preserve"> not included under the assumption that plant size decreases as emergence is delayed (Table 1). All the parameters were calculated for a female-only population because only female plants </w:t>
      </w:r>
      <w:r w:rsidRPr="009F1439">
        <w:rPr>
          <w:color w:val="000000" w:themeColor="text1"/>
        </w:rPr>
        <w:lastRenderedPageBreak/>
        <w:t xml:space="preserve">bear seeds. Consequently, the modeled population size reflected half of the population size in reality. The seedbank densities of the </w:t>
      </w:r>
      <w:proofErr w:type="gramStart"/>
      <w:r w:rsidRPr="009F1439">
        <w:rPr>
          <w:color w:val="000000" w:themeColor="text1"/>
        </w:rPr>
        <w:t>whole population</w:t>
      </w:r>
      <w:proofErr w:type="gramEnd"/>
      <w:r w:rsidRPr="009F1439">
        <w:rPr>
          <w:color w:val="000000" w:themeColor="text1"/>
        </w:rPr>
        <w:t xml:space="preserve">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0000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r w:rsidRPr="009F1439">
        <w:rPr>
          <w:rStyle w:val="VerbatimChar"/>
          <w:color w:val="000000" w:themeColor="text1"/>
        </w:rPr>
        <w:t>s_t</w:t>
      </w:r>
      <w:r w:rsidRPr="009F1439">
        <w:rPr>
          <w:color w:val="000000" w:themeColor="text1"/>
        </w:rPr>
        <w:t xml:space="preserve">, </w:t>
      </w:r>
      <w:r w:rsidRPr="009F1439">
        <w:rPr>
          <w:rStyle w:val="VerbatimChar"/>
          <w:color w:val="000000" w:themeColor="text1"/>
        </w:rPr>
        <w:t>s_b</w:t>
      </w:r>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0000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periods. The tillage-induced seed vertical movement rates are considered neutral parameters because the seeds that are kept </w:t>
      </w:r>
      <w:r w:rsidRPr="009F1439">
        <w:rPr>
          <w:color w:val="000000" w:themeColor="text1"/>
        </w:rPr>
        <w:lastRenderedPageBreak/>
        <w:t>at or moved to the 0-2 cm soil layer can be exposed to emergence stimulants or granivores</w:t>
      </w:r>
      <w:r w:rsidR="00C451E8" w:rsidRPr="009F1439">
        <w:rPr>
          <w:color w:val="000000" w:themeColor="text1"/>
        </w:rPr>
        <w:t>,</w:t>
      </w:r>
      <w:r w:rsidRPr="009F1439">
        <w:rPr>
          <w:color w:val="000000" w:themeColor="text1"/>
        </w:rPr>
        <w:t xml:space="preserve"> 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0000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0000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75374E46" w14:textId="1328894C"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65C2DB46" w14:textId="0E4D0008"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p>
          <w:p w14:paraId="11FA61CA" w14:textId="7E374F08"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788E2E01" w14:textId="37C82BE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0187C99D" w14:textId="1187BD60"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p>
          <w:p w14:paraId="40F5E120" w14:textId="6A15B74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r w:rsidRPr="009F1439">
              <w:rPr>
                <w:rFonts w:ascii="Helvetica"/>
                <w:color w:val="000000" w:themeColor="text1"/>
                <w:sz w:val="20"/>
                <w:szCs w:val="20"/>
              </w:rPr>
              <w:t xml:space="preserve"> </w:t>
            </w:r>
          </w:p>
          <w:p w14:paraId="26725686" w14:textId="4897C6AA"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p>
          <w:p w14:paraId="0B6E0F4D" w14:textId="74942569"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r w:rsidRPr="009F1439">
              <w:rPr>
                <w:rFonts w:ascii="Helvetica"/>
                <w:color w:val="000000" w:themeColor="text1"/>
                <w:sz w:val="20"/>
                <w:szCs w:val="20"/>
              </w:rPr>
              <w:t xml:space="preserve"> </w:t>
            </w:r>
          </w:p>
          <w:p w14:paraId="772960F0" w14:textId="66BA959D"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05F3CF75" w14:textId="71B6F9DA"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756A696F" w14:textId="3900B914"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r w:rsidRPr="009F1439">
              <w:rPr>
                <w:rFonts w:ascii="Helvetica"/>
                <w:color w:val="000000" w:themeColor="text1"/>
                <w:sz w:val="20"/>
                <w:szCs w:val="20"/>
              </w:rPr>
              <w:t xml:space="preserve"> </w:t>
            </w:r>
          </w:p>
          <w:p w14:paraId="6E3F6309" w14:textId="7389847F"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10^-6 - 0.07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1.8 x 10^-6 - 0.02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3.3 x 10^-6 - 0.0006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260E8FC6" w14:textId="64357886"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17AE770C" w14:textId="1C7C647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p>
          <w:p w14:paraId="48A24D10" w14:textId="70F78050"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w:t>
            </w:r>
            <w:proofErr w:type="gramStart"/>
            <w:r w:rsidRPr="009F1439">
              <w:rPr>
                <w:rFonts w:ascii="Helvetica"/>
                <w:color w:val="000000" w:themeColor="text1"/>
                <w:sz w:val="20"/>
                <w:szCs w:val="20"/>
              </w:rPr>
              <w:t>3518.6;</w:t>
            </w:r>
            <w:proofErr w:type="gramEnd"/>
            <w:r w:rsidRPr="009F1439">
              <w:rPr>
                <w:rFonts w:ascii="Helvetica"/>
                <w:color w:val="000000" w:themeColor="text1"/>
                <w:sz w:val="20"/>
                <w:szCs w:val="20"/>
              </w:rPr>
              <w:t xml:space="preserve"> </w:t>
            </w:r>
          </w:p>
          <w:p w14:paraId="539C6E54" w14:textId="0E9E8D3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4.3 - 9003620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w:t>
            </w:r>
            <w:proofErr w:type="gramStart"/>
            <w:r w:rsidRPr="009F1439">
              <w:rPr>
                <w:rFonts w:ascii="Helvetica"/>
                <w:color w:val="000000" w:themeColor="text1"/>
                <w:sz w:val="20"/>
                <w:szCs w:val="20"/>
              </w:rPr>
              <w:t>35.5;</w:t>
            </w:r>
            <w:proofErr w:type="gramEnd"/>
            <w:r w:rsidRPr="009F1439">
              <w:rPr>
                <w:rFonts w:ascii="Helvetica"/>
                <w:color w:val="000000" w:themeColor="text1"/>
                <w:sz w:val="20"/>
                <w:szCs w:val="20"/>
              </w:rPr>
              <w:t xml:space="preserve"> </w:t>
            </w:r>
          </w:p>
          <w:p w14:paraId="33416741" w14:textId="66FAB16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0.5 - 4453381.0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w:t>
            </w:r>
            <w:proofErr w:type="gramStart"/>
            <w:r w:rsidRPr="009F1439">
              <w:rPr>
                <w:rFonts w:ascii="Helvetica"/>
                <w:color w:val="000000" w:themeColor="text1"/>
                <w:sz w:val="20"/>
                <w:szCs w:val="20"/>
              </w:rPr>
              <w:t>964.0;</w:t>
            </w:r>
            <w:proofErr w:type="gramEnd"/>
            <w:r w:rsidRPr="009F1439">
              <w:rPr>
                <w:rFonts w:ascii="Helvetica"/>
                <w:color w:val="000000" w:themeColor="text1"/>
                <w:sz w:val="20"/>
                <w:szCs w:val="20"/>
              </w:rPr>
              <w:t xml:space="preserve"> </w:t>
            </w:r>
          </w:p>
          <w:p w14:paraId="6F23012D" w14:textId="66C03E3B"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3.9 - 4115522.0</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w:t>
            </w:r>
            <w:proofErr w:type="gramStart"/>
            <w:r w:rsidRPr="009F1439">
              <w:rPr>
                <w:rFonts w:ascii="Helvetica"/>
                <w:color w:val="000000" w:themeColor="text1"/>
                <w:sz w:val="20"/>
                <w:szCs w:val="20"/>
              </w:rPr>
              <w:t>11.8;</w:t>
            </w:r>
            <w:proofErr w:type="gramEnd"/>
            <w:r w:rsidRPr="009F1439">
              <w:rPr>
                <w:rFonts w:ascii="Helvetica"/>
                <w:color w:val="000000" w:themeColor="text1"/>
                <w:sz w:val="20"/>
                <w:szCs w:val="20"/>
              </w:rPr>
              <w:t xml:space="preserve"> </w:t>
            </w:r>
          </w:p>
          <w:p w14:paraId="2CF11003" w14:textId="115C102E"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0.2 - 14478.1</w:t>
            </w:r>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0" w:name="modeling"/>
      <w:bookmarkEnd w:id="9"/>
    </w:p>
    <w:p w14:paraId="1954744B" w14:textId="77777777" w:rsidR="005550BE" w:rsidRPr="009F1439" w:rsidRDefault="000000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0000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0000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0000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67184381" w:rsidR="005550BE" w:rsidRPr="009F1439" w:rsidRDefault="000000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crops’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proofErr w:type="gramStart"/>
      <w:r w:rsidR="001C57D6" w:rsidRPr="009F1439">
        <w:rPr>
          <w:color w:val="000000" w:themeColor="text1"/>
        </w:rPr>
        <w:t>manuscript</w:t>
      </w:r>
      <w:proofErr w:type="gramEnd"/>
      <w:r w:rsidR="001C57D6" w:rsidRPr="009F1439">
        <w:rPr>
          <w:color w:val="000000" w:themeColor="text1"/>
        </w:rPr>
        <w:t xml:space="preserve"> but it was used as the</w:t>
      </w:r>
      <w:r w:rsidRPr="009F1439">
        <w:rPr>
          <w:color w:val="000000" w:themeColor="text1"/>
        </w:rPr>
        <w:t xml:space="preserve"> intermediate value to calculate fecundity.</w:t>
      </w:r>
    </w:p>
    <w:p w14:paraId="0C27651D" w14:textId="77777777" w:rsidR="005550BE" w:rsidRPr="009F1439" w:rsidRDefault="000000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000000" w:rsidP="00F05379">
      <w:pPr>
        <w:pStyle w:val="Heading4"/>
        <w:spacing w:line="480" w:lineRule="auto"/>
        <w:rPr>
          <w:color w:val="000000" w:themeColor="text1"/>
        </w:rPr>
      </w:pPr>
      <w:bookmarkStart w:id="11" w:name="population-growth-rate"/>
      <w:r w:rsidRPr="009F1439">
        <w:rPr>
          <w:color w:val="000000" w:themeColor="text1"/>
        </w:rPr>
        <w:t>Population growth rate</w:t>
      </w:r>
    </w:p>
    <w:p w14:paraId="719D43BF" w14:textId="6F3D66F8" w:rsidR="005550BE" w:rsidRPr="009F1439" w:rsidRDefault="000000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0000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2" w:name="results-and-discussion"/>
      <w:bookmarkEnd w:id="1"/>
      <w:bookmarkEnd w:id="10"/>
      <w:bookmarkEnd w:id="11"/>
      <w:r w:rsidRPr="009F1439">
        <w:rPr>
          <w:color w:val="000000" w:themeColor="text1"/>
        </w:rPr>
        <w:t>Simulations</w:t>
      </w:r>
    </w:p>
    <w:p w14:paraId="7832C07C" w14:textId="77777777" w:rsidR="003F22E8" w:rsidRPr="009F1439" w:rsidRDefault="003F22E8" w:rsidP="00F05379">
      <w:pPr>
        <w:pStyle w:val="FirstParagraph"/>
        <w:spacing w:line="480" w:lineRule="auto"/>
        <w:rPr>
          <w:color w:val="000000" w:themeColor="text1"/>
        </w:rPr>
      </w:pPr>
      <w:r w:rsidRPr="009F1439">
        <w:rPr>
          <w:color w:val="000000" w:themeColor="text1"/>
        </w:rPr>
        <w:t xml:space="preserve">Since plant fecundity was the most influential on population growth and waterhemp was more prolific in the warm-season crop environments than the cool-season crop environments, we followed up with a simulation of seed production allowance in corn and soybean. We used a theoretical plot of 1 meter squared with 10000 seeds in the top 0 - 2 </w:t>
      </w:r>
      <w:r w:rsidRPr="009F1439">
        <w:rPr>
          <w:color w:val="000000" w:themeColor="text1"/>
        </w:rPr>
        <w:lastRenderedPageBreak/>
        <w:t>cm soil stratum and 0 seed in the 2 - 20 cm soil stratum and followed that theoretical plot in three rotations (2-year, 3-year, and 4-year) crossed with two corn weed management regimes (conventional and low herbicide), as empirically experimented at our research site. We were interested in the following question:</w:t>
      </w:r>
    </w:p>
    <w:p w14:paraId="4E0F4584" w14:textId="36BDD140" w:rsidR="003F22E8" w:rsidRPr="009F1439" w:rsidRDefault="003F22E8" w:rsidP="00F05379">
      <w:pPr>
        <w:pStyle w:val="BodyText"/>
        <w:spacing w:line="480" w:lineRule="auto"/>
        <w:rPr>
          <w:color w:val="000000" w:themeColor="text1"/>
        </w:rPr>
      </w:pPr>
      <w:r w:rsidRPr="009F1439">
        <w:rPr>
          <w:i/>
          <w:iCs/>
          <w:color w:val="000000" w:themeColor="text1"/>
        </w:rPr>
        <w:t xml:space="preserve">How much </w:t>
      </w:r>
      <w:r w:rsidR="00513D83" w:rsidRPr="009F1439">
        <w:rPr>
          <w:i/>
          <w:iCs/>
          <w:color w:val="000000" w:themeColor="text1"/>
        </w:rPr>
        <w:t>is weed control efficacy</w:t>
      </w:r>
      <w:r w:rsidRPr="009F1439">
        <w:rPr>
          <w:i/>
          <w:iCs/>
          <w:color w:val="000000" w:themeColor="text1"/>
        </w:rPr>
        <w:t xml:space="preserve"> necessary to </w:t>
      </w:r>
      <w:r w:rsidR="00513D83" w:rsidRPr="009F1439">
        <w:rPr>
          <w:i/>
          <w:iCs/>
          <w:color w:val="000000" w:themeColor="text1"/>
        </w:rPr>
        <w:t>stabilize a waterhemp population</w:t>
      </w:r>
      <w:r w:rsidRPr="009F1439">
        <w:rPr>
          <w:i/>
          <w:iCs/>
          <w:color w:val="000000" w:themeColor="text1"/>
        </w:rPr>
        <w:t xml:space="preserve"> (</w:t>
      </w:r>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r w:rsidRPr="009F1439">
        <w:rPr>
          <w:i/>
          <w:iCs/>
          <w:color w:val="000000" w:themeColor="text1"/>
        </w:rPr>
        <w:t>)? Control efficacy in waterhemp in this study is measured by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i/>
          <w:iCs/>
          <w:color w:val="000000" w:themeColor="text1"/>
        </w:rPr>
        <w:t>) instead of plant density because waterhemp plant size is highly variable.</w:t>
      </w:r>
    </w:p>
    <w:p w14:paraId="3AEAA528" w14:textId="2D0335EA" w:rsidR="003F22E8" w:rsidRPr="009F1439" w:rsidRDefault="003F22E8" w:rsidP="00F05379">
      <w:pPr>
        <w:pStyle w:val="BodyText"/>
        <w:spacing w:line="480" w:lineRule="auto"/>
        <w:rPr>
          <w:color w:val="000000" w:themeColor="text1"/>
        </w:rPr>
      </w:pPr>
      <w:r w:rsidRPr="009F1439">
        <w:rPr>
          <w:color w:val="000000" w:themeColor="text1"/>
        </w:rPr>
        <w:t xml:space="preserve">All the population dynamics, except for plant fecundity of </w:t>
      </w:r>
      <w:r w:rsidR="00513D83" w:rsidRPr="009F1439">
        <w:rPr>
          <w:color w:val="000000" w:themeColor="text1"/>
        </w:rPr>
        <w:t>cohorts</w:t>
      </w:r>
      <w:r w:rsidRPr="009F1439">
        <w:rPr>
          <w:color w:val="000000" w:themeColor="text1"/>
        </w:rPr>
        <w:t xml:space="preserve"> 1 through 3, were kept as in the prospective modeling exercise. We estimated the necessary control efficacy in the corn and soybean crop environments by simulating seed production allowance for plant cohorts 1 through 3. We only manipulated </w:t>
      </w:r>
      <w:r w:rsidR="00513D83" w:rsidRPr="009F1439">
        <w:rPr>
          <w:color w:val="000000" w:themeColor="text1"/>
        </w:rPr>
        <w:t xml:space="preserve">the </w:t>
      </w:r>
      <w:r w:rsidRPr="009F1439">
        <w:rPr>
          <w:color w:val="000000" w:themeColor="text1"/>
        </w:rPr>
        <w:t xml:space="preserve">fecundity of cohorts 1 through 3 because 1) the first three cohorts are </w:t>
      </w:r>
      <w:proofErr w:type="gramStart"/>
      <w:r w:rsidRPr="009F1439">
        <w:rPr>
          <w:color w:val="000000" w:themeColor="text1"/>
        </w:rPr>
        <w:t>most likely exposed</w:t>
      </w:r>
      <w:proofErr w:type="gramEnd"/>
      <w:r w:rsidRPr="009F1439">
        <w:rPr>
          <w:color w:val="000000" w:themeColor="text1"/>
        </w:rPr>
        <w:t xml:space="preserve"> to herbicides or cultivation than the later cohorts, 2) the first three cohorts, especially cohorts 1 and 2, have higher survival rates than the later cohorts, and 3) in general, the earlier cohorts are more capable of accumulating larger aboveground mass than later cohorts.</w:t>
      </w:r>
    </w:p>
    <w:p w14:paraId="56CEBEF4" w14:textId="1A05DCF6" w:rsidR="003F22E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 that pooled all the 389 data points from the whole experiment. Twenty-four pairs of s and m were estimated </w:t>
      </w:r>
      <w:r w:rsidRPr="009F1439">
        <w:rPr>
          <w:color w:val="000000" w:themeColor="text1"/>
        </w:rPr>
        <w:lastRenderedPageBreak/>
        <w:t>(details are in Table ?? in the Appendix). Different pairs of s and m were tried in the simulation until (</w:t>
      </w:r>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w:t>
      </w:r>
    </w:p>
    <w:p w14:paraId="1E7E0659" w14:textId="77777777" w:rsidR="005550BE" w:rsidRPr="009F1439" w:rsidRDefault="000000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0000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000000" w:rsidP="00F05379">
      <w:pPr>
        <w:pStyle w:val="Heading2"/>
        <w:spacing w:line="480" w:lineRule="auto"/>
        <w:rPr>
          <w:color w:val="000000" w:themeColor="text1"/>
        </w:rPr>
      </w:pPr>
      <w:bookmarkStart w:id="13" w:name="X413fbd2b508dfcda083de6efac2e339c70114e8"/>
      <w:r w:rsidRPr="009F1439">
        <w:rPr>
          <w:color w:val="000000" w:themeColor="text1"/>
        </w:rPr>
        <w:t>Waterhemp sub-annual demographic parameters from empirical measurement</w:t>
      </w:r>
    </w:p>
    <w:p w14:paraId="0CA20404" w14:textId="77777777" w:rsidR="005550BE" w:rsidRPr="009F1439" w:rsidRDefault="00000000" w:rsidP="00F05379">
      <w:pPr>
        <w:pStyle w:val="Heading3"/>
        <w:spacing w:line="480" w:lineRule="auto"/>
        <w:rPr>
          <w:color w:val="000000" w:themeColor="text1"/>
        </w:rPr>
      </w:pPr>
      <w:bookmarkStart w:id="14" w:name="seedling-emergence-pattern-and-timing-1"/>
      <w:r w:rsidRPr="009F1439">
        <w:rPr>
          <w:color w:val="000000" w:themeColor="text1"/>
        </w:rPr>
        <w:t>Seedling emergence pattern and timing</w:t>
      </w:r>
    </w:p>
    <w:p w14:paraId="3E80C0EE" w14:textId="19D27BAD" w:rsidR="005550BE" w:rsidRPr="009F1439" w:rsidRDefault="00000000" w:rsidP="00F05379">
      <w:pPr>
        <w:pStyle w:val="FirstParagraph"/>
        <w:spacing w:line="480" w:lineRule="auto"/>
        <w:rPr>
          <w:color w:val="000000" w:themeColor="text1"/>
        </w:rPr>
      </w:pPr>
      <w:r w:rsidRPr="009F1439">
        <w:rPr>
          <w:color w:val="000000" w:themeColor="text1"/>
        </w:rPr>
        <w:t xml:space="preserve">Within the same calendar year, cumulative whole-season and cohort-based seedling densities were lower in the warm-season crops than in the cool-season crops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0000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0000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0000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000000" w:rsidP="00F05379">
      <w:pPr>
        <w:pStyle w:val="Heading3"/>
        <w:spacing w:line="480" w:lineRule="auto"/>
        <w:rPr>
          <w:color w:val="000000" w:themeColor="text1"/>
        </w:rPr>
      </w:pPr>
      <w:bookmarkStart w:id="15" w:name="soil-seedbank-and-emergence-proportion"/>
      <w:bookmarkEnd w:id="14"/>
      <w:r w:rsidRPr="009F1439">
        <w:rPr>
          <w:color w:val="000000" w:themeColor="text1"/>
        </w:rPr>
        <w:t>2019 soil seedbank and emergence proportion</w:t>
      </w:r>
    </w:p>
    <w:p w14:paraId="5C1044B7"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In 2019, the waterhemp soil seedbank densities estimated between crop harvest and post-harvest tillage in the cool-season crop environments (O3, O4, and A4) were substantially </w:t>
      </w:r>
      <w:r w:rsidRPr="009F1439">
        <w:rPr>
          <w:color w:val="000000" w:themeColor="text1"/>
        </w:rPr>
        <w:lastRenderedPageBreak/>
        <w:t>higher than those of the warm-season crops. The waterhemp soil seedbank densities in the soybean environments were the lowest among all the crop environments (Table 5).</w:t>
      </w:r>
    </w:p>
    <w:p w14:paraId="7729052E" w14:textId="77777777" w:rsidR="005550BE" w:rsidRPr="009F1439" w:rsidRDefault="00000000" w:rsidP="00F05379">
      <w:pPr>
        <w:pStyle w:val="TableCaption"/>
        <w:spacing w:line="480" w:lineRule="auto"/>
        <w:rPr>
          <w:color w:val="000000" w:themeColor="text1"/>
        </w:rPr>
      </w:pPr>
      <w:r w:rsidRPr="009F1439">
        <w:rPr>
          <w:color w:val="000000" w:themeColor="text1"/>
        </w:rP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000000" w:rsidP="00F05379">
      <w:pPr>
        <w:pStyle w:val="Heading2"/>
        <w:spacing w:line="480" w:lineRule="auto"/>
        <w:rPr>
          <w:color w:val="000000" w:themeColor="text1"/>
        </w:rPr>
      </w:pPr>
      <w:bookmarkStart w:id="16" w:name="waterhemp-population-growth-rates"/>
      <w:bookmarkEnd w:id="13"/>
      <w:bookmarkEnd w:id="15"/>
      <w:r w:rsidRPr="009F1439">
        <w:rPr>
          <w:color w:val="000000" w:themeColor="text1"/>
        </w:rPr>
        <w:t>Waterhemp population growth rates</w:t>
      </w:r>
    </w:p>
    <w:p w14:paraId="08E36A06" w14:textId="10C4A040"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furtherly illustrated I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000000" w:rsidP="00F05379">
      <w:pPr>
        <w:pStyle w:val="Heading3"/>
        <w:spacing w:line="480" w:lineRule="auto"/>
        <w:rPr>
          <w:color w:val="000000" w:themeColor="text1"/>
        </w:rPr>
      </w:pPr>
      <w:bookmarkStart w:id="17" w:name="scenario-1"/>
      <w:r w:rsidRPr="009F1439">
        <w:rPr>
          <w:color w:val="000000" w:themeColor="text1"/>
        </w:rPr>
        <w:t>Scenario 1</w:t>
      </w:r>
    </w:p>
    <w:p w14:paraId="6BD5F418" w14:textId="644CCEB6" w:rsidR="005550BE" w:rsidRPr="009F1439" w:rsidRDefault="000000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in all rotations, except in the 4-year rotation with low herbicide corn weed management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1.14).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6.12,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28.34)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000000" w:rsidP="00F05379">
      <w:pPr>
        <w:pStyle w:val="Heading3"/>
        <w:spacing w:line="480" w:lineRule="auto"/>
        <w:rPr>
          <w:color w:val="000000" w:themeColor="text1"/>
        </w:rPr>
      </w:pPr>
      <w:bookmarkStart w:id="18" w:name="scenario-2"/>
      <w:bookmarkEnd w:id="17"/>
      <w:r w:rsidRPr="009F1439">
        <w:rPr>
          <w:color w:val="000000" w:themeColor="text1"/>
        </w:rPr>
        <w:t>Scenario 2</w:t>
      </w:r>
    </w:p>
    <w:p w14:paraId="114A0E1B" w14:textId="1474C1A9" w:rsidR="005550BE" w:rsidRPr="009F1439" w:rsidRDefault="000000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w:t>
      </w:r>
      <w:proofErr w:type="gramStart"/>
      <w:r w:rsidRPr="009F1439">
        <w:rPr>
          <w:color w:val="000000" w:themeColor="text1"/>
        </w:rPr>
        <w:t>a large portion</w:t>
      </w:r>
      <w:proofErr w:type="gramEnd"/>
      <w:r w:rsidRPr="009F1439">
        <w:rPr>
          <w:color w:val="000000" w:themeColor="text1"/>
        </w:rPr>
        <w:t xml:space="preserve"> of the seedbanks were 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Pr="009F1439">
        <w:rPr>
          <w:color w:val="000000" w:themeColor="text1"/>
        </w:rPr>
        <w:t xml:space="preserve">were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0000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000000" w:rsidP="00F05379">
      <w:pPr>
        <w:pStyle w:val="CaptionedFigure"/>
        <w:spacing w:line="480" w:lineRule="auto"/>
        <w:rPr>
          <w:color w:val="000000" w:themeColor="text1"/>
        </w:rPr>
      </w:pPr>
      <w:bookmarkStart w:id="19" w:name="Xf5df142dff9b7c2f56340cdf78ee2c0bbaf8ab2"/>
      <w:bookmarkStart w:id="20" w:name="scenario-2-1"/>
      <w:bookmarkEnd w:id="16"/>
      <w:bookmarkEnd w:id="18"/>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1"/>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2"/>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r w:rsidRPr="009F1439">
        <w:rPr>
          <w:color w:val="000000" w:themeColor="text1"/>
        </w:rPr>
        <w:t>Simulation</w:t>
      </w:r>
    </w:p>
    <w:p w14:paraId="6D652207" w14:textId="688EBE55" w:rsidR="00F748E1" w:rsidRPr="009F1439" w:rsidRDefault="00F748E1" w:rsidP="00F05379">
      <w:pPr>
        <w:pStyle w:val="FirstParagraph"/>
        <w:spacing w:line="480" w:lineRule="auto"/>
        <w:rPr>
          <w:color w:val="000000" w:themeColor="text1"/>
        </w:rPr>
      </w:pPr>
      <w:r w:rsidRPr="009F1439">
        <w:rPr>
          <w:color w:val="000000" w:themeColor="text1"/>
        </w:rPr>
        <w:t xml:space="preserve">The more diverse rotations (3-year and 4-year) can tolerate higher seed production than the 2-year rotation can (Figure </w:t>
      </w:r>
      <w:r w:rsidR="00F26B47" w:rsidRPr="009F1439">
        <w:rPr>
          <w:color w:val="000000" w:themeColor="text1"/>
        </w:rPr>
        <w:t>5</w:t>
      </w:r>
      <w:r w:rsidRPr="009F1439">
        <w:rPr>
          <w:color w:val="000000" w:themeColor="text1"/>
        </w:rPr>
        <w:t>). This pattern is consistent with the population projection presented previously.</w:t>
      </w:r>
      <w:r w:rsidR="00A447EB" w:rsidRPr="009F1439">
        <w:rPr>
          <w:color w:val="000000" w:themeColor="text1"/>
        </w:rPr>
        <w:t xml:space="preserve"> </w:t>
      </w: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 cohorts in C2 and S2 produced 42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total (or 0.04 gram/m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of dried aboveground mass), which would be equivalent to almost total control.</w:t>
      </w:r>
    </w:p>
    <w:p w14:paraId="5BD7597B" w14:textId="1E835C14" w:rsidR="00F748E1" w:rsidRPr="009F1439" w:rsidRDefault="00F748E1" w:rsidP="00F05379">
      <w:pPr>
        <w:pStyle w:val="BodyText"/>
        <w:spacing w:line="480" w:lineRule="auto"/>
        <w:rPr>
          <w:color w:val="000000" w:themeColor="text1"/>
        </w:rPr>
      </w:pPr>
      <w:r w:rsidRPr="009F1439">
        <w:rPr>
          <w:color w:val="000000" w:themeColor="text1"/>
        </w:rPr>
        <w:t xml:space="preserve">The 4-year rotation can tolerate bigger plants in the corn and soybean phases than the 3-year rotation,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 When corn was managed with conventional herbicide, 4821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1101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3017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2531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was tolerated. Within the seed production allowance under </w:t>
      </w:r>
      <w:r w:rsidRPr="009F1439">
        <w:rPr>
          <w:color w:val="000000" w:themeColor="text1"/>
        </w:rPr>
        <w:lastRenderedPageBreak/>
        <w:t>conventional corn weed management, 2187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S4’s first three waterhemp cohorts but 627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S3’s first three waterhemp cohorts. However, when </w:t>
      </w:r>
      <w:r w:rsidR="00E6222E" w:rsidRPr="009F1439">
        <w:rPr>
          <w:color w:val="000000" w:themeColor="text1"/>
        </w:rPr>
        <w:t xml:space="preserve">the </w:t>
      </w:r>
      <w:r w:rsidRPr="009F1439">
        <w:rPr>
          <w:color w:val="000000" w:themeColor="text1"/>
        </w:rPr>
        <w:t>low herbicide regime was used for corn weed management, 2394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889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2672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785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was tolerated. Within the seed production allowance under low herbicide corn weed management, 2187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S4’s first three waterhemp cohorts but 627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S3’s first three waterhemp cohorts.</w:t>
      </w:r>
    </w:p>
    <w:p w14:paraId="575927D0" w14:textId="1F6189C1" w:rsidR="00F748E1" w:rsidRPr="009F1439" w:rsidRDefault="00F05379" w:rsidP="00F05379">
      <w:pPr>
        <w:pStyle w:val="ImageCaption"/>
        <w:spacing w:line="480" w:lineRule="auto"/>
        <w:rPr>
          <w:color w:val="000000" w:themeColor="text1"/>
        </w:rPr>
      </w:pPr>
      <w:r w:rsidRPr="009F1439">
        <w:rPr>
          <w:noProof/>
          <w:color w:val="000000" w:themeColor="text1"/>
        </w:rPr>
        <w:lastRenderedPageBreak/>
        <w:drawing>
          <wp:inline distT="0" distB="0" distL="0" distR="0" wp14:anchorId="69AA928C" wp14:editId="7BEE76B8">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2C875CD3" w14:textId="302587E8"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2 - 18 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(2022b) were used to estimate cohort-based fecundity. In corn and soybean, only the </w:t>
      </w:r>
      <w:r w:rsidRPr="009F1439">
        <w:rPr>
          <w:color w:val="000000" w:themeColor="text1"/>
        </w:rPr>
        <w:lastRenderedPageBreak/>
        <w:t xml:space="preserve">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 first three waterhemp cohorts and the whole crop phase. The red horizontal line marks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000000" w:rsidP="00F05379">
      <w:pPr>
        <w:pStyle w:val="Heading2"/>
        <w:spacing w:line="480" w:lineRule="auto"/>
        <w:rPr>
          <w:color w:val="000000" w:themeColor="text1"/>
        </w:rPr>
      </w:pPr>
      <w:bookmarkStart w:id="21" w:name="conclusion"/>
      <w:bookmarkEnd w:id="19"/>
      <w:bookmarkEnd w:id="20"/>
      <w:r w:rsidRPr="009F1439">
        <w:rPr>
          <w:color w:val="000000" w:themeColor="text1"/>
        </w:rPr>
        <w:t>Conclusion</w:t>
      </w:r>
    </w:p>
    <w:p w14:paraId="2B3D748A" w14:textId="77777777" w:rsidR="005550BE" w:rsidRPr="009F1439" w:rsidRDefault="00000000" w:rsidP="00F05379">
      <w:pPr>
        <w:pStyle w:val="FirstParagraph"/>
        <w:spacing w:line="480" w:lineRule="auto"/>
        <w:rPr>
          <w:color w:val="000000" w:themeColor="text1"/>
        </w:rPr>
      </w:pPr>
      <w:r w:rsidRPr="009F1439">
        <w:rPr>
          <w:color w:val="000000" w:themeColor="text1"/>
        </w:rPr>
        <w:t>Delayed but steady emergence (Tables 3 and 4), Figure 2) in the cool-season crop environments decreased population fecundity in the oat and alfalfa phases, and thus, accelerated seedbank size reduction in scenario 1 and slowed seedbank size increment in scenario 2.</w:t>
      </w:r>
    </w:p>
    <w:p w14:paraId="6FACABF8" w14:textId="5EB25DB8" w:rsidR="005550BE" w:rsidRPr="009F1439" w:rsidRDefault="000000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23BE3DBA" w:rsidR="005550BE" w:rsidRPr="009F1439" w:rsidRDefault="000000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oint in its life cycle was seedling emergence rate and seedling to maturity success rate.</w:t>
      </w:r>
      <w:r w:rsidR="00E6222E" w:rsidRPr="009F1439">
        <w:rPr>
          <w:color w:val="000000" w:themeColor="text1"/>
        </w:rPr>
        <w:t xml:space="preserve"> An </w:t>
      </w:r>
      <w:r w:rsidR="00E6222E" w:rsidRPr="009F1439">
        <w:rPr>
          <w:color w:val="000000" w:themeColor="text1"/>
        </w:rPr>
        <w:lastRenderedPageBreak/>
        <w:t xml:space="preserve">elasticity analysis (output not shown) showed 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escaped</w:t>
      </w:r>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05D1113" w:rsidR="005550BE" w:rsidRPr="009F1439" w:rsidRDefault="000000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but did coincide with population increases in scenario 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w:t>
      </w:r>
      <w:proofErr w:type="gramStart"/>
      <w:r w:rsidRPr="009F1439">
        <w:rPr>
          <w:color w:val="000000" w:themeColor="text1"/>
        </w:rPr>
        <w:t>necessary</w:t>
      </w:r>
      <w:proofErr w:type="gramEnd"/>
      <w:r w:rsidRPr="009F1439">
        <w:rPr>
          <w:color w:val="000000" w:themeColor="text1"/>
        </w:rPr>
        <w:t xml:space="preserve">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25F639C5" w14:textId="0DC979D1" w:rsidR="00CB623C" w:rsidRPr="009F1439" w:rsidRDefault="00CB623C" w:rsidP="00F05379">
      <w:pPr>
        <w:pStyle w:val="BodyText"/>
        <w:spacing w:line="480" w:lineRule="auto"/>
        <w:rPr>
          <w:color w:val="000000" w:themeColor="text1"/>
        </w:rPr>
      </w:pPr>
      <w:r w:rsidRPr="009F1439">
        <w:rPr>
          <w:color w:val="000000" w:themeColor="text1"/>
        </w:rPr>
        <w:t xml:space="preserve">The weed control pressure for the corn and soybean phases could be lessened with more extended rotations as bigger waterhemp plants in cohorts 1 through 3 can be tolerated in the 3-year and 4-year rotation than in the 2-year rotation. This higher tolerance can be attributed to the weed control effects provided by extending a cropping system of corn and soybean only with cool-season crops. As waterhemp fecundity was manipulated for cohorts </w:t>
      </w:r>
      <w:r w:rsidRPr="009F1439">
        <w:rPr>
          <w:color w:val="000000" w:themeColor="text1"/>
        </w:rPr>
        <w:lastRenderedPageBreak/>
        <w:t>1 through 3 in corn and soybean environments only, it is implied that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need attention.</w:t>
      </w:r>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000000" w:rsidP="00F05379">
      <w:pPr>
        <w:pStyle w:val="Heading2"/>
        <w:spacing w:line="480" w:lineRule="auto"/>
        <w:rPr>
          <w:color w:val="000000" w:themeColor="text1"/>
        </w:rPr>
      </w:pPr>
      <w:bookmarkStart w:id="22" w:name="appendix"/>
      <w:bookmarkEnd w:id="21"/>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23"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000000" w:rsidP="00F05379">
      <w:pPr>
        <w:pStyle w:val="Heading3"/>
        <w:spacing w:line="480" w:lineRule="auto"/>
        <w:rPr>
          <w:color w:val="000000" w:themeColor="text1"/>
        </w:rPr>
      </w:pPr>
      <w:r w:rsidRPr="009F1439">
        <w:rPr>
          <w:color w:val="000000" w:themeColor="text1"/>
        </w:rPr>
        <w:t>Seed densities at the top and bottom soil strata</w:t>
      </w:r>
    </w:p>
    <w:p w14:paraId="3108D24D"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lastRenderedPageBreak/>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14"/>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000000" w:rsidP="00F05379">
      <w:pPr>
        <w:pStyle w:val="Heading3"/>
        <w:spacing w:line="480" w:lineRule="auto"/>
        <w:rPr>
          <w:color w:val="000000" w:themeColor="text1"/>
        </w:rPr>
      </w:pPr>
      <w:bookmarkStart w:id="24" w:name="seedbank-density-from-2014-through-2019"/>
      <w:bookmarkEnd w:id="23"/>
      <w:r w:rsidRPr="009F1439">
        <w:rPr>
          <w:color w:val="000000" w:themeColor="text1"/>
        </w:rPr>
        <w:lastRenderedPageBreak/>
        <w:t>Seedbank density from 2014 through 2019</w:t>
      </w:r>
    </w:p>
    <w:p w14:paraId="140F30BA"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15"/>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000000" w:rsidP="00F05379">
      <w:pPr>
        <w:pStyle w:val="Heading3"/>
        <w:spacing w:line="480" w:lineRule="auto"/>
        <w:rPr>
          <w:color w:val="000000" w:themeColor="text1"/>
        </w:rPr>
      </w:pPr>
      <w:bookmarkStart w:id="25" w:name="Xdc78b3fcbf6883be4bb7a1747584a1c7480e9b4"/>
      <w:bookmarkEnd w:id="24"/>
      <w:r w:rsidRPr="009F1439">
        <w:rPr>
          <w:color w:val="000000" w:themeColor="text1"/>
        </w:rPr>
        <w:t>Emergence pattern and timing in different crop environments</w:t>
      </w:r>
    </w:p>
    <w:p w14:paraId="4198A36B"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lastRenderedPageBreak/>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lastRenderedPageBreak/>
        <w:t>##  Crop                        3  61 458.187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0000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0000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16"/>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0000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000000" w:rsidP="00F05379">
      <w:pPr>
        <w:pStyle w:val="Heading3"/>
        <w:spacing w:line="480" w:lineRule="auto"/>
        <w:rPr>
          <w:color w:val="000000" w:themeColor="text1"/>
        </w:rPr>
      </w:pPr>
      <w:bookmarkStart w:id="26" w:name="female-survival-rate-by-cohort"/>
      <w:bookmarkEnd w:id="25"/>
      <w:r w:rsidRPr="009F1439">
        <w:rPr>
          <w:color w:val="000000" w:themeColor="text1"/>
        </w:rPr>
        <w:t>2019 female survival rate by cohort</w:t>
      </w:r>
    </w:p>
    <w:p w14:paraId="166326C8" w14:textId="0F1C2EBC" w:rsidR="005550BE" w:rsidRPr="009F1439" w:rsidRDefault="000000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0000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27" w:name="matrix-assembly"/>
      <w:bookmarkEnd w:id="26"/>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00000000" w:rsidRPr="009F1439">
        <w:rPr>
          <w:color w:val="000000" w:themeColor="text1"/>
        </w:rPr>
        <w:t>Matrix assembly</w:t>
      </w:r>
    </w:p>
    <w:p w14:paraId="45759879" w14:textId="397C772E" w:rsidR="005550BE" w:rsidRPr="009F1439" w:rsidRDefault="000000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000000" w:rsidP="00F05379">
      <w:pPr>
        <w:pStyle w:val="Heading4"/>
        <w:spacing w:line="480" w:lineRule="auto"/>
        <w:rPr>
          <w:color w:val="000000" w:themeColor="text1"/>
        </w:rPr>
      </w:pPr>
      <w:bookmarkStart w:id="28" w:name="published-literature-data"/>
      <w:r w:rsidRPr="009F1439">
        <w:rPr>
          <w:color w:val="000000" w:themeColor="text1"/>
        </w:rPr>
        <w:t>Published literature data</w:t>
      </w:r>
    </w:p>
    <w:p w14:paraId="51E1A348" w14:textId="77777777" w:rsidR="005550BE" w:rsidRPr="009F1439" w:rsidRDefault="00000000" w:rsidP="00F05379">
      <w:pPr>
        <w:pStyle w:val="Heading5"/>
        <w:spacing w:line="480" w:lineRule="auto"/>
        <w:rPr>
          <w:color w:val="000000" w:themeColor="text1"/>
        </w:rPr>
      </w:pPr>
      <w:bookmarkStart w:id="29" w:name="X25ebf5f357bc3f697a63ede840897b15e2ebf90"/>
      <w:r w:rsidRPr="009F1439">
        <w:rPr>
          <w:color w:val="000000" w:themeColor="text1"/>
        </w:rPr>
        <w:t>Pre-planting tillage induced vertical redistribution of seeds</w:t>
      </w:r>
    </w:p>
    <w:p w14:paraId="5841D1B4"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w:t>
      </w:r>
      <w:r w:rsidRPr="009F1439">
        <w:rPr>
          <w:color w:val="000000" w:themeColor="text1"/>
        </w:rPr>
        <w:lastRenderedPageBreak/>
        <w:t>oat (O3 and O4). No tillage was applied before alfalfa (A4) because alfalfa that was 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0000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lastRenderedPageBreak/>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000000" w:rsidP="00F05379">
      <w:pPr>
        <w:pStyle w:val="Heading5"/>
        <w:spacing w:line="480" w:lineRule="auto"/>
        <w:rPr>
          <w:color w:val="000000" w:themeColor="text1"/>
        </w:rPr>
      </w:pPr>
      <w:bookmarkStart w:id="30" w:name="X185207a0d58b38e048cbd72eec73724706b4f10"/>
      <w:bookmarkEnd w:id="29"/>
      <w:r w:rsidRPr="009F1439">
        <w:rPr>
          <w:color w:val="000000" w:themeColor="text1"/>
        </w:rPr>
        <w:t>In-season survival of seeds and seedlings</w:t>
      </w:r>
    </w:p>
    <w:p w14:paraId="2BEAD833"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0000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0000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t>
      </w:r>
      <w:r w:rsidRPr="009F1439">
        <w:rPr>
          <w:color w:val="000000" w:themeColor="text1"/>
        </w:rPr>
        <w:lastRenderedPageBreak/>
        <w:t>were used for corn</w:t>
      </w:r>
      <w:r w:rsidR="00301B19" w:rsidRPr="009F1439">
        <w:rPr>
          <w:color w:val="000000" w:themeColor="text1"/>
        </w:rPr>
        <w:t>,</w:t>
      </w:r>
      <w:r w:rsidRPr="009F1439">
        <w:rPr>
          <w:color w:val="000000" w:themeColor="text1"/>
        </w:rPr>
        <w:t xml:space="preserve"> and Hartzler et al. (2004)’s results were used for soybean crop 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0000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lastRenderedPageBreak/>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lastRenderedPageBreak/>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lastRenderedPageBreak/>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lastRenderedPageBreak/>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lastRenderedPageBreak/>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000000" w:rsidP="00F05379">
      <w:pPr>
        <w:pStyle w:val="Heading5"/>
        <w:spacing w:line="480" w:lineRule="auto"/>
        <w:rPr>
          <w:color w:val="000000" w:themeColor="text1"/>
        </w:rPr>
      </w:pPr>
      <w:bookmarkStart w:id="31" w:name="X5af0c29dd0db1fad40095958aeca28a7bb63d51"/>
      <w:bookmarkEnd w:id="30"/>
      <w:r w:rsidRPr="009F1439">
        <w:rPr>
          <w:color w:val="000000" w:themeColor="text1"/>
        </w:rPr>
        <w:t>Post-harvest tillage induced vertical redistribution of seeds post-harvest tillage</w:t>
      </w:r>
    </w:p>
    <w:p w14:paraId="27B29880" w14:textId="61BB6CD6" w:rsidR="005550BE" w:rsidRPr="009F1439" w:rsidRDefault="000000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0000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lastRenderedPageBreak/>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lastRenderedPageBreak/>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lastRenderedPageBreak/>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lastRenderedPageBreak/>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000000" w:rsidP="00F05379">
      <w:pPr>
        <w:pStyle w:val="Heading5"/>
        <w:spacing w:line="480" w:lineRule="auto"/>
        <w:rPr>
          <w:color w:val="000000" w:themeColor="text1"/>
        </w:rPr>
      </w:pPr>
      <w:bookmarkStart w:id="32" w:name="overwinter-survival"/>
      <w:bookmarkEnd w:id="31"/>
      <w:r w:rsidRPr="009F1439">
        <w:rPr>
          <w:color w:val="000000" w:themeColor="text1"/>
        </w:rPr>
        <w:t>Overwinter survival</w:t>
      </w:r>
    </w:p>
    <w:p w14:paraId="39BA6C8B" w14:textId="77777777" w:rsidR="005550BE" w:rsidRPr="009F1439" w:rsidRDefault="000000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0000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000000" w:rsidP="00F05379">
      <w:pPr>
        <w:pStyle w:val="Heading4"/>
        <w:spacing w:line="480" w:lineRule="auto"/>
        <w:rPr>
          <w:color w:val="000000" w:themeColor="text1"/>
        </w:rPr>
      </w:pPr>
      <w:bookmarkStart w:id="33" w:name="empirically-measured-data"/>
      <w:bookmarkEnd w:id="28"/>
      <w:bookmarkEnd w:id="32"/>
      <w:r w:rsidRPr="009F1439">
        <w:rPr>
          <w:color w:val="000000" w:themeColor="text1"/>
        </w:rPr>
        <w:lastRenderedPageBreak/>
        <w:t>Empirically measured data</w:t>
      </w:r>
    </w:p>
    <w:p w14:paraId="6F76C67F" w14:textId="77777777" w:rsidR="005550BE" w:rsidRPr="009F1439" w:rsidRDefault="00000000" w:rsidP="00F05379">
      <w:pPr>
        <w:pStyle w:val="Heading5"/>
        <w:spacing w:line="480" w:lineRule="auto"/>
        <w:rPr>
          <w:color w:val="000000" w:themeColor="text1"/>
        </w:rPr>
      </w:pPr>
      <w:bookmarkStart w:id="34" w:name="seedling-recruitment"/>
      <w:r w:rsidRPr="009F1439">
        <w:rPr>
          <w:color w:val="000000" w:themeColor="text1"/>
        </w:rPr>
        <w:t>Seedling recruitment</w:t>
      </w:r>
    </w:p>
    <w:p w14:paraId="3AA9FAD6" w14:textId="0CC54A82" w:rsidR="005550BE" w:rsidRPr="009F1439" w:rsidRDefault="000000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0000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0000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proofErr w:type="gramStart"/>
      <w:r w:rsidRPr="009F1439">
        <w:rPr>
          <w:i/>
          <w:iCs/>
          <w:color w:val="000000" w:themeColor="text1"/>
        </w:rPr>
        <w:t>Post-harvest</w:t>
      </w:r>
      <w:proofErr w:type="gramEnd"/>
      <w:r w:rsidRPr="009F1439">
        <w:rPr>
          <w:i/>
          <w:iCs/>
          <w:color w:val="000000" w:themeColor="text1"/>
        </w:rPr>
        <w:t xml:space="preserve">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0000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proofErr w:type="gramStart"/>
      <w:r w:rsidR="008118B2" w:rsidRPr="009F1439">
        <w:rPr>
          <w:color w:val="000000" w:themeColor="text1"/>
        </w:rPr>
        <w:t>the</w:t>
      </w:r>
      <w:r w:rsidRPr="009F1439">
        <w:rPr>
          <w:color w:val="000000" w:themeColor="text1"/>
        </w:rPr>
        <w:t>e</w:t>
      </w:r>
      <w:proofErr w:type="gramEnd"/>
      <w:r w:rsidRPr="009F1439">
        <w:rPr>
          <w:color w:val="000000" w:themeColor="text1"/>
        </w:rPr>
        <w:t xml:space="preserv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0000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0000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0000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000000" w:rsidP="00F05379">
      <w:pPr>
        <w:pStyle w:val="Heading5"/>
        <w:spacing w:line="480" w:lineRule="auto"/>
        <w:rPr>
          <w:color w:val="000000" w:themeColor="text1"/>
        </w:rPr>
      </w:pPr>
      <w:bookmarkStart w:id="35" w:name="plant-fecundity"/>
      <w:bookmarkEnd w:id="34"/>
      <w:r w:rsidRPr="009F1439">
        <w:rPr>
          <w:color w:val="000000" w:themeColor="text1"/>
        </w:rPr>
        <w:t>Plant fecundity</w:t>
      </w:r>
    </w:p>
    <w:p w14:paraId="30FB4C47" w14:textId="77777777" w:rsidR="005550BE" w:rsidRPr="009F1439" w:rsidRDefault="000000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0000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0000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0000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0000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36" w:name="simulation-1"/>
      <w:bookmarkStart w:id="37" w:name="references"/>
      <w:bookmarkEnd w:id="12"/>
      <w:bookmarkEnd w:id="22"/>
      <w:bookmarkEnd w:id="27"/>
      <w:bookmarkEnd w:id="33"/>
      <w:bookmarkEnd w:id="35"/>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36"/>
    <w:p w14:paraId="4463256D" w14:textId="0DA4B914" w:rsidR="0011041D" w:rsidRDefault="0011041D" w:rsidP="0011041D">
      <w:pPr>
        <w:pStyle w:val="FirstParagraph"/>
      </w:pPr>
      <w:r>
        <w:t xml:space="preserve">The data in the model projection </w:t>
      </w:r>
      <w:r>
        <w:t xml:space="preserve">(Appendix B) </w:t>
      </w:r>
      <w:r>
        <w:t>was used in this simulation. 100 iterations of simulation were run per each rotation crossed with corn weed management regime.</w:t>
      </w:r>
      <w:r>
        <w:t xml:space="preserve"> The full simulation algorithm is detailed below. </w:t>
      </w:r>
    </w:p>
    <w:p w14:paraId="2A9F98F2" w14:textId="40F02015" w:rsidR="0011041D" w:rsidRDefault="0011041D" w:rsidP="0011041D">
      <w:pPr>
        <w:pStyle w:val="SourceCode"/>
      </w:pPr>
      <w:r>
        <w:rPr>
          <w:rStyle w:val="CommentTok"/>
        </w:rPr>
        <w:t xml:space="preserve"># event sequence: seed dropped - </w:t>
      </w:r>
      <w:r>
        <w:rPr>
          <w:rStyle w:val="CommentTok"/>
        </w:rPr>
        <w:t>tillage</w:t>
      </w:r>
      <w:r>
        <w:rPr>
          <w:rStyle w:val="CommentTok"/>
        </w:rPr>
        <w:t xml:space="preserve"> - overwinter - </w:t>
      </w:r>
      <w:r>
        <w:rPr>
          <w:rStyle w:val="CommentTok"/>
        </w:rPr>
        <w:t>tillage</w:t>
      </w:r>
      <w:r>
        <w:rPr>
          <w:rStyle w:val="CommentTok"/>
        </w:rPr>
        <w:t xml:space="preserve"> - emerge -</w:t>
      </w:r>
      <w:r>
        <w:rPr>
          <w:rStyle w:val="CommentTok"/>
        </w:rPr>
        <w:t xml:space="preserve">  </w:t>
      </w:r>
      <w:r>
        <w:rPr>
          <w:rStyle w:val="CommentTok"/>
        </w:rPr>
        <w:t xml:space="preserve">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0000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000000" w:rsidP="00F05379">
      <w:pPr>
        <w:pStyle w:val="Bibliography"/>
        <w:spacing w:line="480" w:lineRule="auto"/>
        <w:rPr>
          <w:color w:val="000000" w:themeColor="text1"/>
        </w:rPr>
      </w:pPr>
      <w:bookmarkStart w:id="38" w:name="ref-buhlerEmergencePersistenceSeed2001"/>
      <w:bookmarkStart w:id="39"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17">
        <w:r w:rsidRPr="009F1439">
          <w:rPr>
            <w:rStyle w:val="Hyperlink"/>
            <w:color w:val="000000" w:themeColor="text1"/>
          </w:rPr>
          <w:t>https://doi.org/dmnt6f</w:t>
        </w:r>
      </w:hyperlink>
    </w:p>
    <w:p w14:paraId="34CFD31B" w14:textId="77777777" w:rsidR="005550BE" w:rsidRPr="009F1439" w:rsidRDefault="00000000" w:rsidP="00F05379">
      <w:pPr>
        <w:pStyle w:val="Bibliography"/>
        <w:spacing w:line="480" w:lineRule="auto"/>
        <w:rPr>
          <w:color w:val="000000" w:themeColor="text1"/>
        </w:rPr>
      </w:pPr>
      <w:bookmarkStart w:id="40" w:name="ref-burnsideSeedLongevity411996"/>
      <w:bookmarkEnd w:id="38"/>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000000" w:rsidP="00F05379">
      <w:pPr>
        <w:pStyle w:val="Bibliography"/>
        <w:spacing w:line="480" w:lineRule="auto"/>
        <w:rPr>
          <w:color w:val="000000" w:themeColor="text1"/>
        </w:rPr>
      </w:pPr>
      <w:bookmarkStart w:id="41" w:name="ref-caswellMatrixPopulationModels2001"/>
      <w:bookmarkEnd w:id="40"/>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000000" w:rsidP="00F05379">
      <w:pPr>
        <w:pStyle w:val="Bibliography"/>
        <w:spacing w:line="480" w:lineRule="auto"/>
        <w:rPr>
          <w:color w:val="000000" w:themeColor="text1"/>
        </w:rPr>
      </w:pPr>
      <w:bookmarkStart w:id="42" w:name="ref-costeaBiologyInvasiveAlien2005"/>
      <w:bookmarkEnd w:id="41"/>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18">
        <w:r w:rsidRPr="009F1439">
          <w:rPr>
            <w:rStyle w:val="Hyperlink"/>
            <w:color w:val="000000" w:themeColor="text1"/>
          </w:rPr>
          <w:t>https://doi.org/b75t54</w:t>
        </w:r>
      </w:hyperlink>
    </w:p>
    <w:p w14:paraId="4813432D" w14:textId="77777777" w:rsidR="005550BE" w:rsidRPr="009F1439" w:rsidRDefault="00000000" w:rsidP="00F05379">
      <w:pPr>
        <w:pStyle w:val="Bibliography"/>
        <w:spacing w:line="480" w:lineRule="auto"/>
        <w:rPr>
          <w:color w:val="000000" w:themeColor="text1"/>
        </w:rPr>
      </w:pPr>
      <w:bookmarkStart w:id="43" w:name="ref-cousensDynamicsWeedPopulations1995"/>
      <w:bookmarkEnd w:id="42"/>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19">
        <w:r w:rsidRPr="009F1439">
          <w:rPr>
            <w:rStyle w:val="Hyperlink"/>
            <w:color w:val="000000" w:themeColor="text1"/>
          </w:rPr>
          <w:t>https://doi.org/10.1017/CBO9780511608629</w:t>
        </w:r>
      </w:hyperlink>
    </w:p>
    <w:p w14:paraId="2604E081" w14:textId="77777777" w:rsidR="005550BE" w:rsidRPr="009F1439" w:rsidRDefault="00000000" w:rsidP="00F05379">
      <w:pPr>
        <w:pStyle w:val="Bibliography"/>
        <w:spacing w:line="480" w:lineRule="auto"/>
        <w:rPr>
          <w:color w:val="000000" w:themeColor="text1"/>
        </w:rPr>
      </w:pPr>
      <w:bookmarkStart w:id="44" w:name="ref-cousensModelEffectsCultivation1990"/>
      <w:bookmarkEnd w:id="43"/>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0">
        <w:r w:rsidRPr="009F1439">
          <w:rPr>
            <w:rStyle w:val="Hyperlink"/>
            <w:color w:val="000000" w:themeColor="text1"/>
          </w:rPr>
          <w:t>https://doi.org/d824tt</w:t>
        </w:r>
      </w:hyperlink>
    </w:p>
    <w:p w14:paraId="24256F76" w14:textId="77777777" w:rsidR="005550BE" w:rsidRPr="009F1439" w:rsidRDefault="00000000" w:rsidP="00F05379">
      <w:pPr>
        <w:pStyle w:val="Bibliography"/>
        <w:spacing w:line="480" w:lineRule="auto"/>
        <w:rPr>
          <w:color w:val="000000" w:themeColor="text1"/>
        </w:rPr>
      </w:pPr>
      <w:bookmarkStart w:id="45" w:name="ref-davisWeedSeedPools2008"/>
      <w:bookmarkEnd w:id="44"/>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1">
        <w:r w:rsidRPr="009F1439">
          <w:rPr>
            <w:rStyle w:val="Hyperlink"/>
            <w:color w:val="000000" w:themeColor="text1"/>
          </w:rPr>
          <w:t>https://doi.org/bmncpf</w:t>
        </w:r>
      </w:hyperlink>
    </w:p>
    <w:p w14:paraId="4B31B6FE" w14:textId="77777777" w:rsidR="005550BE" w:rsidRPr="009F1439" w:rsidRDefault="00000000" w:rsidP="00F05379">
      <w:pPr>
        <w:pStyle w:val="Bibliography"/>
        <w:spacing w:line="480" w:lineRule="auto"/>
        <w:rPr>
          <w:color w:val="000000" w:themeColor="text1"/>
        </w:rPr>
      </w:pPr>
      <w:bookmarkStart w:id="46" w:name="ref-davisCroppingSystemEffects2002"/>
      <w:bookmarkEnd w:id="45"/>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2">
        <w:r w:rsidRPr="009F1439">
          <w:rPr>
            <w:rStyle w:val="Hyperlink"/>
            <w:color w:val="000000" w:themeColor="text1"/>
          </w:rPr>
          <w:t>https://doi.org/10.31274/rtd-180814-161</w:t>
        </w:r>
      </w:hyperlink>
    </w:p>
    <w:p w14:paraId="4D45FFCC" w14:textId="77777777" w:rsidR="005550BE" w:rsidRPr="009F1439" w:rsidRDefault="00000000" w:rsidP="00F05379">
      <w:pPr>
        <w:pStyle w:val="Bibliography"/>
        <w:spacing w:line="480" w:lineRule="auto"/>
        <w:rPr>
          <w:color w:val="000000" w:themeColor="text1"/>
        </w:rPr>
      </w:pPr>
      <w:bookmarkStart w:id="47" w:name="Xc8e6bf8227d4849548aebee73db74b69ed93d74"/>
      <w:bookmarkEnd w:id="46"/>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3">
        <w:r w:rsidRPr="009F1439">
          <w:rPr>
            <w:rStyle w:val="Hyperlink"/>
            <w:color w:val="000000" w:themeColor="text1"/>
          </w:rPr>
          <w:t>https://doi.org/dmvcdf</w:t>
        </w:r>
      </w:hyperlink>
    </w:p>
    <w:p w14:paraId="11730091" w14:textId="77777777" w:rsidR="005550BE" w:rsidRPr="009F1439" w:rsidRDefault="00000000" w:rsidP="00F05379">
      <w:pPr>
        <w:pStyle w:val="Bibliography"/>
        <w:spacing w:line="480" w:lineRule="auto"/>
        <w:rPr>
          <w:color w:val="000000" w:themeColor="text1"/>
        </w:rPr>
      </w:pPr>
      <w:bookmarkStart w:id="48" w:name="ref-davisCroppingSystemEffects2003"/>
      <w:bookmarkEnd w:id="47"/>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24">
        <w:r w:rsidRPr="009F1439">
          <w:rPr>
            <w:rStyle w:val="Hyperlink"/>
            <w:color w:val="000000" w:themeColor="text1"/>
          </w:rPr>
          <w:t>https://doi.org/bxq7q8</w:t>
        </w:r>
      </w:hyperlink>
    </w:p>
    <w:p w14:paraId="03E96AC9" w14:textId="77777777" w:rsidR="005550BE" w:rsidRPr="009F1439" w:rsidRDefault="00000000" w:rsidP="00F05379">
      <w:pPr>
        <w:pStyle w:val="Bibliography"/>
        <w:spacing w:line="480" w:lineRule="auto"/>
        <w:rPr>
          <w:color w:val="000000" w:themeColor="text1"/>
        </w:rPr>
      </w:pPr>
      <w:bookmarkStart w:id="49" w:name="ref-davisInfluenceSeedDepth2007"/>
      <w:bookmarkEnd w:id="48"/>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25">
        <w:r w:rsidRPr="009F1439">
          <w:rPr>
            <w:rStyle w:val="Hyperlink"/>
            <w:color w:val="000000" w:themeColor="text1"/>
          </w:rPr>
          <w:t>https://doi.org/cdzbdn</w:t>
        </w:r>
      </w:hyperlink>
    </w:p>
    <w:p w14:paraId="2CB245A9" w14:textId="77777777" w:rsidR="005550BE" w:rsidRPr="009F1439" w:rsidRDefault="00000000" w:rsidP="00F05379">
      <w:pPr>
        <w:pStyle w:val="Bibliography"/>
        <w:spacing w:line="480" w:lineRule="auto"/>
        <w:rPr>
          <w:color w:val="000000" w:themeColor="text1"/>
        </w:rPr>
      </w:pPr>
      <w:bookmarkStart w:id="50" w:name="ref-hartzlerEffectCommonWaterhemp2004"/>
      <w:bookmarkEnd w:id="49"/>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26">
        <w:r w:rsidRPr="009F1439">
          <w:rPr>
            <w:rStyle w:val="Hyperlink"/>
            <w:color w:val="000000" w:themeColor="text1"/>
          </w:rPr>
          <w:t>https://doi.org/cmhpxk</w:t>
        </w:r>
      </w:hyperlink>
    </w:p>
    <w:p w14:paraId="4E27376A" w14:textId="77777777" w:rsidR="005550BE" w:rsidRPr="009F1439" w:rsidRDefault="00000000" w:rsidP="00F05379">
      <w:pPr>
        <w:pStyle w:val="Bibliography"/>
        <w:spacing w:line="480" w:lineRule="auto"/>
        <w:rPr>
          <w:color w:val="000000" w:themeColor="text1"/>
        </w:rPr>
      </w:pPr>
      <w:bookmarkStart w:id="51" w:name="ref-heneghanGrowthDevelopmentFive2017"/>
      <w:bookmarkEnd w:id="50"/>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27">
        <w:r w:rsidRPr="009F1439">
          <w:rPr>
            <w:rStyle w:val="Hyperlink"/>
            <w:color w:val="000000" w:themeColor="text1"/>
          </w:rPr>
          <w:t>https://doi.org/f93hz9</w:t>
        </w:r>
      </w:hyperlink>
    </w:p>
    <w:p w14:paraId="5185C13D" w14:textId="77777777" w:rsidR="005550BE" w:rsidRPr="009F1439" w:rsidRDefault="00000000" w:rsidP="00F05379">
      <w:pPr>
        <w:pStyle w:val="Bibliography"/>
        <w:spacing w:line="480" w:lineRule="auto"/>
        <w:rPr>
          <w:color w:val="000000" w:themeColor="text1"/>
        </w:rPr>
      </w:pPr>
      <w:bookmarkStart w:id="52" w:name="X7441e3eafbdf51db39ed9bae69f4918976635f6"/>
      <w:bookmarkEnd w:id="51"/>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28">
        <w:r w:rsidRPr="009F1439">
          <w:rPr>
            <w:rStyle w:val="Hyperlink"/>
            <w:color w:val="000000" w:themeColor="text1"/>
          </w:rPr>
          <w:t>https://doi.org/dxmb34</w:t>
        </w:r>
      </w:hyperlink>
    </w:p>
    <w:p w14:paraId="135311F0" w14:textId="77777777" w:rsidR="005550BE" w:rsidRPr="009F1439" w:rsidRDefault="00000000" w:rsidP="00F05379">
      <w:pPr>
        <w:pStyle w:val="Bibliography"/>
        <w:spacing w:line="480" w:lineRule="auto"/>
        <w:rPr>
          <w:color w:val="000000" w:themeColor="text1"/>
        </w:rPr>
      </w:pPr>
      <w:bookmarkStart w:id="53" w:name="ref-korresSeedbankPersistencePalmer2018"/>
      <w:bookmarkEnd w:id="52"/>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29">
        <w:r w:rsidRPr="009F1439">
          <w:rPr>
            <w:rStyle w:val="Hyperlink"/>
            <w:color w:val="000000" w:themeColor="text1"/>
          </w:rPr>
          <w:t>https://doi.org/gd2hgf</w:t>
        </w:r>
      </w:hyperlink>
    </w:p>
    <w:p w14:paraId="74E3D051" w14:textId="77777777" w:rsidR="005550BE" w:rsidRPr="009F1439" w:rsidRDefault="00000000" w:rsidP="00F05379">
      <w:pPr>
        <w:pStyle w:val="Bibliography"/>
        <w:spacing w:line="480" w:lineRule="auto"/>
        <w:rPr>
          <w:color w:val="000000" w:themeColor="text1"/>
        </w:rPr>
      </w:pPr>
      <w:bookmarkStart w:id="54" w:name="ref-leslieUseMatricesCertain1945"/>
      <w:bookmarkEnd w:id="53"/>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0">
        <w:r w:rsidRPr="009F1439">
          <w:rPr>
            <w:rStyle w:val="Hyperlink"/>
            <w:color w:val="000000" w:themeColor="text1"/>
          </w:rPr>
          <w:t>https://doi.org/bskdps</w:t>
        </w:r>
      </w:hyperlink>
    </w:p>
    <w:p w14:paraId="62BBB31A" w14:textId="77777777" w:rsidR="005550BE" w:rsidRPr="009F1439" w:rsidRDefault="00000000" w:rsidP="00F05379">
      <w:pPr>
        <w:pStyle w:val="Bibliography"/>
        <w:spacing w:line="480" w:lineRule="auto"/>
        <w:rPr>
          <w:color w:val="000000" w:themeColor="text1"/>
        </w:rPr>
      </w:pPr>
      <w:bookmarkStart w:id="55" w:name="ref-liuPollenBiologyDispersal2012"/>
      <w:bookmarkEnd w:id="54"/>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1">
        <w:r w:rsidRPr="009F1439">
          <w:rPr>
            <w:rStyle w:val="Hyperlink"/>
            <w:color w:val="000000" w:themeColor="text1"/>
          </w:rPr>
          <w:t>https://doi.org/f35xbv</w:t>
        </w:r>
      </w:hyperlink>
    </w:p>
    <w:p w14:paraId="55D2DA10" w14:textId="77777777" w:rsidR="005550BE" w:rsidRPr="009F1439" w:rsidRDefault="00000000" w:rsidP="00F05379">
      <w:pPr>
        <w:pStyle w:val="Bibliography"/>
        <w:spacing w:line="480" w:lineRule="auto"/>
        <w:rPr>
          <w:color w:val="000000" w:themeColor="text1"/>
        </w:rPr>
      </w:pPr>
      <w:bookmarkStart w:id="56" w:name="X496882e430c223ae1bb8ffdf3f8f3a1f5691e52"/>
      <w:bookmarkEnd w:id="55"/>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2">
        <w:r w:rsidRPr="009F1439">
          <w:rPr>
            <w:rStyle w:val="Hyperlink"/>
            <w:color w:val="000000" w:themeColor="text1"/>
          </w:rPr>
          <w:t>https://doi.org/gjpz5c</w:t>
        </w:r>
      </w:hyperlink>
    </w:p>
    <w:p w14:paraId="15048E0D" w14:textId="77777777" w:rsidR="005550BE" w:rsidRPr="009F1439" w:rsidRDefault="00000000" w:rsidP="00F05379">
      <w:pPr>
        <w:pStyle w:val="Bibliography"/>
        <w:spacing w:line="480" w:lineRule="auto"/>
        <w:rPr>
          <w:color w:val="000000" w:themeColor="text1"/>
        </w:rPr>
      </w:pPr>
      <w:bookmarkStart w:id="57" w:name="X7723847c6d02b7eb8860381177e74df7d23e698"/>
      <w:bookmarkEnd w:id="56"/>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3">
        <w:r w:rsidRPr="009F1439">
          <w:rPr>
            <w:rStyle w:val="Hyperlink"/>
            <w:color w:val="000000" w:themeColor="text1"/>
          </w:rPr>
          <w:t>https://doi.org/gf5pdq</w:t>
        </w:r>
      </w:hyperlink>
    </w:p>
    <w:p w14:paraId="6ACA5453" w14:textId="77777777" w:rsidR="005550BE" w:rsidRPr="009F1439" w:rsidRDefault="00000000" w:rsidP="00F05379">
      <w:pPr>
        <w:pStyle w:val="Bibliography"/>
        <w:spacing w:line="480" w:lineRule="auto"/>
        <w:rPr>
          <w:color w:val="000000" w:themeColor="text1"/>
        </w:rPr>
      </w:pPr>
      <w:bookmarkStart w:id="58" w:name="ref-nguyenImpactCroppingSystem2022"/>
      <w:bookmarkEnd w:id="57"/>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34">
        <w:r w:rsidRPr="009F1439">
          <w:rPr>
            <w:rStyle w:val="Hyperlink"/>
            <w:color w:val="000000" w:themeColor="text1"/>
          </w:rPr>
          <w:t>https://doi.org/gpsrmj</w:t>
        </w:r>
      </w:hyperlink>
    </w:p>
    <w:p w14:paraId="6F11D88E" w14:textId="77777777" w:rsidR="005550BE" w:rsidRPr="009F1439" w:rsidRDefault="00000000" w:rsidP="00F05379">
      <w:pPr>
        <w:pStyle w:val="Bibliography"/>
        <w:spacing w:line="480" w:lineRule="auto"/>
        <w:rPr>
          <w:color w:val="000000" w:themeColor="text1"/>
        </w:rPr>
      </w:pPr>
      <w:bookmarkStart w:id="59" w:name="ref-nguyenWeedCommunityComposition2022"/>
      <w:bookmarkEnd w:id="58"/>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35">
        <w:r w:rsidRPr="009F1439">
          <w:rPr>
            <w:rStyle w:val="Hyperlink"/>
            <w:color w:val="000000" w:themeColor="text1"/>
          </w:rPr>
          <w:t>https://doi.org/gpsrmk</w:t>
        </w:r>
      </w:hyperlink>
    </w:p>
    <w:p w14:paraId="1AADA8B7" w14:textId="77777777" w:rsidR="005550BE" w:rsidRPr="009F1439" w:rsidRDefault="00000000" w:rsidP="00F05379">
      <w:pPr>
        <w:pStyle w:val="Bibliography"/>
        <w:spacing w:line="480" w:lineRule="auto"/>
        <w:rPr>
          <w:color w:val="000000" w:themeColor="text1"/>
        </w:rPr>
      </w:pPr>
      <w:bookmarkStart w:id="60" w:name="ref-nordbyInfluenceCornCommon2004"/>
      <w:bookmarkEnd w:id="59"/>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36">
        <w:r w:rsidRPr="009F1439">
          <w:rPr>
            <w:rStyle w:val="Hyperlink"/>
            <w:color w:val="000000" w:themeColor="text1"/>
          </w:rPr>
          <w:t>https://doi.org/10.1614/WS-03-060R</w:t>
        </w:r>
      </w:hyperlink>
    </w:p>
    <w:p w14:paraId="132E21F7" w14:textId="77777777" w:rsidR="005550BE" w:rsidRPr="009F1439" w:rsidRDefault="00000000" w:rsidP="00F05379">
      <w:pPr>
        <w:pStyle w:val="Bibliography"/>
        <w:spacing w:line="480" w:lineRule="auto"/>
        <w:rPr>
          <w:color w:val="000000" w:themeColor="text1"/>
        </w:rPr>
      </w:pPr>
      <w:bookmarkStart w:id="61" w:name="ref-princeBenchmarkStudyIV2012"/>
      <w:bookmarkEnd w:id="60"/>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37">
        <w:r w:rsidRPr="009F1439">
          <w:rPr>
            <w:rStyle w:val="Hyperlink"/>
            <w:color w:val="000000" w:themeColor="text1"/>
          </w:rPr>
          <w:t>https://doi.org/f37vn9</w:t>
        </w:r>
      </w:hyperlink>
    </w:p>
    <w:p w14:paraId="6BD9BE05" w14:textId="77777777" w:rsidR="005550BE" w:rsidRPr="009F1439" w:rsidRDefault="00000000" w:rsidP="00F05379">
      <w:pPr>
        <w:pStyle w:val="Bibliography"/>
        <w:spacing w:line="480" w:lineRule="auto"/>
        <w:rPr>
          <w:color w:val="000000" w:themeColor="text1"/>
        </w:rPr>
      </w:pPr>
      <w:bookmarkStart w:id="62" w:name="X2f09e2554680219c64dcb0fd3d04414c138691b"/>
      <w:bookmarkEnd w:id="61"/>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000000" w:rsidP="00F05379">
      <w:pPr>
        <w:pStyle w:val="Bibliography"/>
        <w:spacing w:line="480" w:lineRule="auto"/>
        <w:rPr>
          <w:color w:val="000000" w:themeColor="text1"/>
        </w:rPr>
      </w:pPr>
      <w:bookmarkStart w:id="63" w:name="Xfccd3252c873b31fa4c42ed0514a224f6f1d493"/>
      <w:bookmarkEnd w:id="62"/>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38">
        <w:r w:rsidRPr="009F1439">
          <w:rPr>
            <w:rStyle w:val="Hyperlink"/>
            <w:color w:val="000000" w:themeColor="text1"/>
          </w:rPr>
          <w:t>https://doi.org/f4vgfs</w:t>
        </w:r>
      </w:hyperlink>
    </w:p>
    <w:p w14:paraId="28615B3E" w14:textId="77777777" w:rsidR="005550BE" w:rsidRPr="009F1439" w:rsidRDefault="00000000" w:rsidP="00F05379">
      <w:pPr>
        <w:pStyle w:val="Bibliography"/>
        <w:spacing w:line="480" w:lineRule="auto"/>
        <w:rPr>
          <w:color w:val="000000" w:themeColor="text1"/>
        </w:rPr>
      </w:pPr>
      <w:bookmarkStart w:id="64" w:name="ref-spokasSeedChaserVerticalSoil2007"/>
      <w:bookmarkEnd w:id="63"/>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39">
        <w:r w:rsidRPr="009F1439">
          <w:rPr>
            <w:rStyle w:val="Hyperlink"/>
            <w:color w:val="000000" w:themeColor="text1"/>
          </w:rPr>
          <w:t>https://doi.org/dzh845</w:t>
        </w:r>
      </w:hyperlink>
    </w:p>
    <w:p w14:paraId="39F61312" w14:textId="77777777" w:rsidR="005550BE" w:rsidRPr="009F1439" w:rsidRDefault="00000000" w:rsidP="00F05379">
      <w:pPr>
        <w:pStyle w:val="Bibliography"/>
        <w:spacing w:line="480" w:lineRule="auto"/>
        <w:rPr>
          <w:color w:val="000000" w:themeColor="text1"/>
        </w:rPr>
      </w:pPr>
      <w:bookmarkStart w:id="65" w:name="ref-steckelTillageCroppingSystem2007"/>
      <w:bookmarkEnd w:id="64"/>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0">
        <w:r w:rsidRPr="009F1439">
          <w:rPr>
            <w:rStyle w:val="Hyperlink"/>
            <w:color w:val="000000" w:themeColor="text1"/>
          </w:rPr>
          <w:t>https://doi.org/bhs6vt</w:t>
        </w:r>
      </w:hyperlink>
    </w:p>
    <w:p w14:paraId="30466033" w14:textId="77777777" w:rsidR="005550BE" w:rsidRPr="009F1439" w:rsidRDefault="00000000" w:rsidP="00F05379">
      <w:pPr>
        <w:pStyle w:val="Bibliography"/>
        <w:spacing w:line="480" w:lineRule="auto"/>
        <w:rPr>
          <w:color w:val="000000" w:themeColor="text1"/>
        </w:rPr>
      </w:pPr>
      <w:bookmarkStart w:id="66" w:name="ref-stubbenPopbioConstructionAnalyse2020"/>
      <w:bookmarkEnd w:id="65"/>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000000" w:rsidP="00F05379">
      <w:pPr>
        <w:pStyle w:val="Bibliography"/>
        <w:spacing w:line="480" w:lineRule="auto"/>
        <w:rPr>
          <w:color w:val="000000" w:themeColor="text1"/>
        </w:rPr>
      </w:pPr>
      <w:bookmarkStart w:id="67" w:name="X89ff8b2de900915a8aaa392ac5b55d5814d2a68"/>
      <w:bookmarkEnd w:id="66"/>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1">
        <w:r w:rsidRPr="009F1439">
          <w:rPr>
            <w:rStyle w:val="Hyperlink"/>
            <w:color w:val="000000" w:themeColor="text1"/>
          </w:rPr>
          <w:t>https://doi.org/gjpz5w</w:t>
        </w:r>
      </w:hyperlink>
    </w:p>
    <w:p w14:paraId="7448DD05" w14:textId="77777777" w:rsidR="005550BE" w:rsidRPr="009F1439" w:rsidRDefault="00000000" w:rsidP="00F05379">
      <w:pPr>
        <w:pStyle w:val="Bibliography"/>
        <w:spacing w:line="480" w:lineRule="auto"/>
        <w:rPr>
          <w:color w:val="000000" w:themeColor="text1"/>
        </w:rPr>
      </w:pPr>
      <w:bookmarkStart w:id="68" w:name="ref-ullrichWeedPopulationDynamics2000"/>
      <w:bookmarkEnd w:id="67"/>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000000" w:rsidP="00F05379">
      <w:pPr>
        <w:pStyle w:val="Bibliography"/>
        <w:spacing w:line="480" w:lineRule="auto"/>
        <w:rPr>
          <w:color w:val="000000" w:themeColor="text1"/>
        </w:rPr>
      </w:pPr>
      <w:bookmarkStart w:id="69" w:name="ref-werlePredictingEmergence232014"/>
      <w:bookmarkEnd w:id="68"/>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2">
        <w:r w:rsidRPr="009F1439">
          <w:rPr>
            <w:rStyle w:val="Hyperlink"/>
            <w:color w:val="000000" w:themeColor="text1"/>
          </w:rPr>
          <w:t>https://doi.org/f5z7zc</w:t>
        </w:r>
      </w:hyperlink>
    </w:p>
    <w:p w14:paraId="760D296C" w14:textId="77777777" w:rsidR="005550BE" w:rsidRPr="009F1439" w:rsidRDefault="00000000" w:rsidP="00F05379">
      <w:pPr>
        <w:pStyle w:val="Bibliography"/>
        <w:spacing w:line="480" w:lineRule="auto"/>
        <w:rPr>
          <w:color w:val="000000" w:themeColor="text1"/>
        </w:rPr>
      </w:pPr>
      <w:bookmarkStart w:id="70" w:name="ref-yenishEffectsTillageVertical1992"/>
      <w:bookmarkEnd w:id="69"/>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37"/>
      <w:bookmarkEnd w:id="39"/>
      <w:bookmarkEnd w:id="70"/>
    </w:p>
    <w:sectPr w:rsidR="005550BE" w:rsidRPr="009F14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D4DCE" w14:textId="77777777" w:rsidR="00D80FB7" w:rsidRDefault="00D80FB7">
      <w:r>
        <w:separator/>
      </w:r>
    </w:p>
  </w:endnote>
  <w:endnote w:type="continuationSeparator" w:id="0">
    <w:p w14:paraId="252D119E" w14:textId="77777777" w:rsidR="00D80FB7" w:rsidRDefault="00D80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CF5383" w:rsidRDefault="00CF5383" w:rsidP="00935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CF5383" w:rsidRDefault="00CF5383"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CF5383" w:rsidRDefault="00CF5383" w:rsidP="00935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CF5383" w:rsidRDefault="00CF5383"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7422" w14:textId="77777777" w:rsidR="00D80FB7" w:rsidRDefault="00D80FB7">
      <w:r>
        <w:separator/>
      </w:r>
    </w:p>
  </w:footnote>
  <w:footnote w:type="continuationSeparator" w:id="0">
    <w:p w14:paraId="64FBBEC0" w14:textId="77777777" w:rsidR="00D80FB7" w:rsidRDefault="00D80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53568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BE"/>
    <w:rsid w:val="000137B3"/>
    <w:rsid w:val="000675DC"/>
    <w:rsid w:val="0007187E"/>
    <w:rsid w:val="000B6B53"/>
    <w:rsid w:val="0011041D"/>
    <w:rsid w:val="001402D1"/>
    <w:rsid w:val="00150044"/>
    <w:rsid w:val="001B5033"/>
    <w:rsid w:val="001C57D6"/>
    <w:rsid w:val="00200ACC"/>
    <w:rsid w:val="0030128F"/>
    <w:rsid w:val="00301B19"/>
    <w:rsid w:val="0030514E"/>
    <w:rsid w:val="0038669C"/>
    <w:rsid w:val="003F22E8"/>
    <w:rsid w:val="003F5475"/>
    <w:rsid w:val="0048501F"/>
    <w:rsid w:val="004E09BB"/>
    <w:rsid w:val="00513D83"/>
    <w:rsid w:val="005550BE"/>
    <w:rsid w:val="00557275"/>
    <w:rsid w:val="005B5BBC"/>
    <w:rsid w:val="005E3CBD"/>
    <w:rsid w:val="006272BE"/>
    <w:rsid w:val="00651658"/>
    <w:rsid w:val="006551F5"/>
    <w:rsid w:val="00661477"/>
    <w:rsid w:val="00672D46"/>
    <w:rsid w:val="00681996"/>
    <w:rsid w:val="007918CA"/>
    <w:rsid w:val="007C3A91"/>
    <w:rsid w:val="007F3CE3"/>
    <w:rsid w:val="008118B2"/>
    <w:rsid w:val="00832CB1"/>
    <w:rsid w:val="008354E7"/>
    <w:rsid w:val="00856202"/>
    <w:rsid w:val="00857EBD"/>
    <w:rsid w:val="00876203"/>
    <w:rsid w:val="00952336"/>
    <w:rsid w:val="009A4702"/>
    <w:rsid w:val="009B27E9"/>
    <w:rsid w:val="009E1269"/>
    <w:rsid w:val="009F1439"/>
    <w:rsid w:val="00A447EB"/>
    <w:rsid w:val="00AF737C"/>
    <w:rsid w:val="00B45EFC"/>
    <w:rsid w:val="00B76164"/>
    <w:rsid w:val="00C04C27"/>
    <w:rsid w:val="00C12825"/>
    <w:rsid w:val="00C27983"/>
    <w:rsid w:val="00C451E8"/>
    <w:rsid w:val="00C55CFC"/>
    <w:rsid w:val="00CB623C"/>
    <w:rsid w:val="00CF5383"/>
    <w:rsid w:val="00D3165A"/>
    <w:rsid w:val="00D361C0"/>
    <w:rsid w:val="00D40130"/>
    <w:rsid w:val="00D416FC"/>
    <w:rsid w:val="00D50364"/>
    <w:rsid w:val="00D80FB7"/>
    <w:rsid w:val="00DB3019"/>
    <w:rsid w:val="00DF21EE"/>
    <w:rsid w:val="00DF7F78"/>
    <w:rsid w:val="00E242CD"/>
    <w:rsid w:val="00E6222E"/>
    <w:rsid w:val="00ED4BCB"/>
    <w:rsid w:val="00EE004B"/>
    <w:rsid w:val="00F05379"/>
    <w:rsid w:val="00F20EC6"/>
    <w:rsid w:val="00F26B47"/>
    <w:rsid w:val="00F748E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b75t54" TargetMode="External"/><Relationship Id="rId26" Type="http://schemas.openxmlformats.org/officeDocument/2006/relationships/hyperlink" Target="https://doi.org/cmhpxk" TargetMode="External"/><Relationship Id="rId39" Type="http://schemas.openxmlformats.org/officeDocument/2006/relationships/hyperlink" Target="https://doi.org/dzh845" TargetMode="External"/><Relationship Id="rId21" Type="http://schemas.openxmlformats.org/officeDocument/2006/relationships/hyperlink" Target="https://doi.org/bmncpf" TargetMode="External"/><Relationship Id="rId34" Type="http://schemas.openxmlformats.org/officeDocument/2006/relationships/hyperlink" Target="https://doi.org/gpsrmj" TargetMode="External"/><Relationship Id="rId42" Type="http://schemas.openxmlformats.org/officeDocument/2006/relationships/hyperlink" Target="https://doi.org/f5z7zc"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d824tt" TargetMode="External"/><Relationship Id="rId29" Type="http://schemas.openxmlformats.org/officeDocument/2006/relationships/hyperlink" Target="https://doi.org/gd2hgf" TargetMode="External"/><Relationship Id="rId41" Type="http://schemas.openxmlformats.org/officeDocument/2006/relationships/hyperlink" Target="https://doi.org/gjpz5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bxq7q8" TargetMode="External"/><Relationship Id="rId32" Type="http://schemas.openxmlformats.org/officeDocument/2006/relationships/hyperlink" Target="https://doi.org/gjpz5c" TargetMode="External"/><Relationship Id="rId37" Type="http://schemas.openxmlformats.org/officeDocument/2006/relationships/hyperlink" Target="https://doi.org/f37vn9" TargetMode="External"/><Relationship Id="rId40" Type="http://schemas.openxmlformats.org/officeDocument/2006/relationships/hyperlink" Target="https://doi.org/bhs6v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dmvcdf" TargetMode="External"/><Relationship Id="rId28" Type="http://schemas.openxmlformats.org/officeDocument/2006/relationships/hyperlink" Target="https://doi.org/dxmb34" TargetMode="External"/><Relationship Id="rId36" Type="http://schemas.openxmlformats.org/officeDocument/2006/relationships/hyperlink" Target="https://doi.org/10.1614/WS-03-060R" TargetMode="External"/><Relationship Id="rId10" Type="http://schemas.openxmlformats.org/officeDocument/2006/relationships/image" Target="media/image2.png"/><Relationship Id="rId19" Type="http://schemas.openxmlformats.org/officeDocument/2006/relationships/hyperlink" Target="https://doi.org/10.1017/CBO9780511608629" TargetMode="External"/><Relationship Id="rId31" Type="http://schemas.openxmlformats.org/officeDocument/2006/relationships/hyperlink" Target="https://doi.org/f35xbv"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doi.org/10.31274/rtd-180814-161" TargetMode="External"/><Relationship Id="rId27" Type="http://schemas.openxmlformats.org/officeDocument/2006/relationships/hyperlink" Target="https://doi.org/f93hz9" TargetMode="External"/><Relationship Id="rId30" Type="http://schemas.openxmlformats.org/officeDocument/2006/relationships/hyperlink" Target="https://doi.org/bskdps" TargetMode="External"/><Relationship Id="rId35" Type="http://schemas.openxmlformats.org/officeDocument/2006/relationships/hyperlink" Target="https://doi.org/gpsrmk"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dmnt6f" TargetMode="External"/><Relationship Id="rId25" Type="http://schemas.openxmlformats.org/officeDocument/2006/relationships/hyperlink" Target="https://doi.org/cdzbdn" TargetMode="External"/><Relationship Id="rId33" Type="http://schemas.openxmlformats.org/officeDocument/2006/relationships/hyperlink" Target="https://doi.org/gf5pdq" TargetMode="External"/><Relationship Id="rId38" Type="http://schemas.openxmlformats.org/officeDocument/2006/relationships/hyperlink" Target="https://doi.org/f4vg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108</TotalTime>
  <Pages>129</Pages>
  <Words>30773</Words>
  <Characters>123096</Characters>
  <Application>Microsoft Office Word</Application>
  <DocSecurity>0</DocSecurity>
  <Lines>4396</Lines>
  <Paragraphs>1570</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20</cp:revision>
  <dcterms:created xsi:type="dcterms:W3CDTF">2022-07-13T21:07:00Z</dcterms:created>
  <dcterms:modified xsi:type="dcterms:W3CDTF">2022-07-14T20:03:00Z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