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71" w:rsidRDefault="006735F8">
      <w:r>
        <w:t>Based on the pivot chart</w:t>
      </w:r>
      <w:r w:rsidR="00011FAE">
        <w:t xml:space="preserve"> in sheet 4, the rate</w:t>
      </w:r>
      <w:bookmarkStart w:id="0" w:name="_GoBack"/>
      <w:bookmarkEnd w:id="0"/>
      <w:r>
        <w:t xml:space="preserve"> of success is higher than failure. The rate for cancelled is lower than the rate of success and failure</w:t>
      </w:r>
      <w:r w:rsidR="00C5151B">
        <w:t xml:space="preserve">.  January, February, and March were the only months which included campaigns that went live. </w:t>
      </w:r>
    </w:p>
    <w:p w:rsidR="00C5151B" w:rsidRDefault="00C5151B">
      <w:r>
        <w:t xml:space="preserve">One limitation of the data includes the fact there are too many parameters, which can confuse and complicate simple analysis. Also, out of 4,000 campaigns, approximately 50 went live.  </w:t>
      </w:r>
    </w:p>
    <w:p w:rsidR="00C5151B" w:rsidRDefault="00C5151B">
      <w:r>
        <w:t xml:space="preserve">A scatter plot can be utilized to mark trends in order to determine the parameters that were most successful. </w:t>
      </w:r>
      <w:proofErr w:type="gramStart"/>
      <w:r>
        <w:t>l</w:t>
      </w:r>
      <w:proofErr w:type="gramEnd"/>
      <w:r>
        <w:t xml:space="preserve"> </w:t>
      </w:r>
    </w:p>
    <w:sectPr w:rsidR="00C5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F8"/>
    <w:rsid w:val="00011FAE"/>
    <w:rsid w:val="00026971"/>
    <w:rsid w:val="006735F8"/>
    <w:rsid w:val="00C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Lodhi, Hussain</dc:creator>
  <cp:lastModifiedBy>Lodhi, Hussain</cp:lastModifiedBy>
  <cp:revision>1</cp:revision>
  <dcterms:created xsi:type="dcterms:W3CDTF">2019-09-21T19:25:00Z</dcterms:created>
  <dcterms:modified xsi:type="dcterms:W3CDTF">2019-09-21T19:59:00Z</dcterms:modified>
</cp:coreProperties>
</file>