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before="200" w:after="100"/>
        <w:jc w:val="center"/>
      </w:pPr>
      <w:r>
        <w:rPr>
          <w:rFonts w:ascii="Arial" w:cs="Arial" w:eastAsia="Arial" w:hAnsi="Arial"/>
          <w:b/>
          <w:bCs/>
          <w:color w:val="1B5E4A"/>
          <w:sz w:val="44"/>
          <w:szCs w:val="44"/>
          <w:rtl/>
        </w:rPr>
        <w:t xml:space="preserve">مذكرة دراسة القضية</w:t>
      </w:r>
    </w:p>
    <w:p>
      <w:pPr>
        <w:spacing w:after="400"/>
        <w:jc w:val="center"/>
      </w:pPr>
      <w:r>
        <w:rPr>
          <w:rFonts w:ascii="Arial" w:cs="Arial" w:eastAsia="Arial" w:hAnsi="Arial"/>
          <w:color w:val="C9A227"/>
          <w:sz w:val="24"/>
          <w:szCs w:val="24"/>
        </w:rPr>
        <w:t xml:space="preserve">CASE STUDY MEMORANDUM</w:t>
      </w:r>
    </w:p>
    <w:p>
      <w:pPr>
        <w:pBdr>
          <w:bottom w:val="single" w:color="C9A227" w:sz="12"/>
        </w:pBdr>
        <w:bidi/>
        <w:spacing w:before="400" w:after="200"/>
        <w:jc w:val="right"/>
      </w:pPr>
      <w:r>
        <w:rPr>
          <w:rFonts w:ascii="Arial" w:cs="Arial" w:eastAsia="Arial" w:hAnsi="Arial"/>
          <w:b/>
          <w:bCs/>
          <w:color w:val="1B5E4A"/>
          <w:sz w:val="28"/>
          <w:szCs w:val="28"/>
          <w:rtl/>
        </w:rPr>
        <w:t xml:space="preserve">١. بيانات القضية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35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          ]</w:t>
            </w:r>
          </w:p>
        </w:tc>
        <w:tc>
          <w:tcPr>
            <w:tcW w:type="pct" w:w="15%"/>
            <w:shd w:fill="1B5E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رقم الملف</w:t>
            </w:r>
          </w:p>
        </w:tc>
        <w:tc>
          <w:tcPr>
            <w:tcW w:type="pct" w:w="35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          ]</w:t>
            </w:r>
          </w:p>
        </w:tc>
        <w:tc>
          <w:tcPr>
            <w:tcW w:type="pct" w:w="15%"/>
            <w:shd w:fill="1B5E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تاريخ الفتح</w:t>
            </w:r>
          </w:p>
        </w:tc>
      </w:tr>
      <w:tr>
        <w:tc>
          <w:tcPr>
            <w:tcW w:type="pct" w:w="35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          ]</w:t>
            </w:r>
          </w:p>
        </w:tc>
        <w:tc>
          <w:tcPr>
            <w:tcW w:type="pct" w:w="15%"/>
            <w:shd w:fill="1B5E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اسم العميل</w:t>
            </w:r>
          </w:p>
        </w:tc>
        <w:tc>
          <w:tcPr>
            <w:tcW w:type="pct" w:w="35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          ]</w:t>
            </w:r>
          </w:p>
        </w:tc>
        <w:tc>
          <w:tcPr>
            <w:tcW w:type="pct" w:w="15%"/>
            <w:shd w:fill="1B5E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صفة العميل</w:t>
            </w:r>
          </w:p>
        </w:tc>
      </w:tr>
      <w:tr>
        <w:tc>
          <w:tcPr>
            <w:tcW w:type="pct" w:w="35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          ]</w:t>
            </w:r>
          </w:p>
        </w:tc>
        <w:tc>
          <w:tcPr>
            <w:tcW w:type="pct" w:w="15%"/>
            <w:shd w:fill="1B5E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نوع القضية</w:t>
            </w:r>
          </w:p>
        </w:tc>
        <w:tc>
          <w:tcPr>
            <w:tcW w:type="pct" w:w="35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          ]</w:t>
            </w:r>
          </w:p>
        </w:tc>
        <w:tc>
          <w:tcPr>
            <w:tcW w:type="pct" w:w="15%"/>
            <w:shd w:fill="1B5E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التصنيف</w:t>
            </w:r>
          </w:p>
        </w:tc>
      </w:tr>
      <w:tr>
        <w:tc>
          <w:tcPr>
            <w:tcW w:type="pct" w:w="35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          ]</w:t>
            </w:r>
          </w:p>
        </w:tc>
        <w:tc>
          <w:tcPr>
            <w:tcW w:type="pct" w:w="15%"/>
            <w:shd w:fill="1B5E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المستشار المسؤول</w:t>
            </w:r>
          </w:p>
        </w:tc>
        <w:tc>
          <w:tcPr>
            <w:tcW w:type="pct" w:w="35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          ]</w:t>
            </w:r>
          </w:p>
        </w:tc>
        <w:tc>
          <w:tcPr>
            <w:tcW w:type="pct" w:w="15%"/>
            <w:shd w:fill="1B5E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الجهة المختصة</w:t>
            </w:r>
          </w:p>
        </w:tc>
      </w:tr>
    </w:tbl>
    <w:p>
      <w:pPr>
        <w:pBdr>
          <w:bottom w:val="single" w:color="C9A227" w:sz="12"/>
        </w:pBdr>
        <w:bidi/>
        <w:spacing w:before="400" w:after="200"/>
        <w:jc w:val="right"/>
      </w:pPr>
      <w:r>
        <w:rPr>
          <w:rFonts w:ascii="Arial" w:cs="Arial" w:eastAsia="Arial" w:hAnsi="Arial"/>
          <w:b/>
          <w:bCs/>
          <w:color w:val="1B5E4A"/>
          <w:sz w:val="28"/>
          <w:szCs w:val="28"/>
          <w:rtl/>
        </w:rPr>
        <w:t xml:space="preserve">٢. السرد الوقائعي - الجدول الزمني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60%"/>
            <w:shd w:fill="1B5E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الواقعة / الحدث</w:t>
            </w:r>
          </w:p>
        </w:tc>
        <w:tc>
          <w:tcPr>
            <w:tcW w:type="pct" w:w="25%"/>
            <w:shd w:fill="1B5E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التاريخ</w:t>
            </w:r>
          </w:p>
        </w:tc>
        <w:tc>
          <w:tcPr>
            <w:tcW w:type="pct" w:w="15%"/>
            <w:shd w:fill="1B5E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</w:t>
            </w:r>
          </w:p>
        </w:tc>
      </w:tr>
      <w:tr>
        <w:tc>
          <w:tcPr>
            <w:tcW w:type="pct" w:w="60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                                                  ]</w:t>
            </w:r>
          </w:p>
        </w:tc>
        <w:tc>
          <w:tcPr>
            <w:tcW w:type="pct" w:w="25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]</w:t>
            </w:r>
          </w:p>
        </w:tc>
        <w:tc>
          <w:tcPr>
            <w:tcW w:type="pct" w:w="15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</w:t>
            </w:r>
          </w:p>
        </w:tc>
      </w:tr>
      <w:tr>
        <w:tc>
          <w:tcPr>
            <w:tcW w:type="pct" w:w="60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                                                  ]</w:t>
            </w:r>
          </w:p>
        </w:tc>
        <w:tc>
          <w:tcPr>
            <w:tcW w:type="pct" w:w="25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]</w:t>
            </w:r>
          </w:p>
        </w:tc>
        <w:tc>
          <w:tcPr>
            <w:tcW w:type="pct" w:w="15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</w:t>
            </w:r>
          </w:p>
        </w:tc>
      </w:tr>
      <w:tr>
        <w:tc>
          <w:tcPr>
            <w:tcW w:type="pct" w:w="60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                                                  ]</w:t>
            </w:r>
          </w:p>
        </w:tc>
        <w:tc>
          <w:tcPr>
            <w:tcW w:type="pct" w:w="25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]</w:t>
            </w:r>
          </w:p>
        </w:tc>
        <w:tc>
          <w:tcPr>
            <w:tcW w:type="pct" w:w="15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</w:t>
            </w:r>
          </w:p>
        </w:tc>
      </w:tr>
      <w:tr>
        <w:tc>
          <w:tcPr>
            <w:tcW w:type="pct" w:w="60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                                                  ]</w:t>
            </w:r>
          </w:p>
        </w:tc>
        <w:tc>
          <w:tcPr>
            <w:tcW w:type="pct" w:w="25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]</w:t>
            </w:r>
          </w:p>
        </w:tc>
        <w:tc>
          <w:tcPr>
            <w:tcW w:type="pct" w:w="15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</w:t>
            </w:r>
          </w:p>
        </w:tc>
      </w:tr>
      <w:tr>
        <w:tc>
          <w:tcPr>
            <w:tcW w:type="pct" w:w="60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                                                  ]</w:t>
            </w:r>
          </w:p>
        </w:tc>
        <w:tc>
          <w:tcPr>
            <w:tcW w:type="pct" w:w="25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]</w:t>
            </w:r>
          </w:p>
        </w:tc>
        <w:tc>
          <w:tcPr>
            <w:tcW w:type="pct" w:w="15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5</w:t>
            </w:r>
          </w:p>
        </w:tc>
      </w:tr>
    </w:tbl>
    <w:p>
      <w:pPr>
        <w:pBdr>
          <w:bottom w:val="single" w:color="C9A227" w:sz="12"/>
        </w:pBdr>
        <w:bidi/>
        <w:spacing w:before="400" w:after="200"/>
        <w:jc w:val="right"/>
      </w:pPr>
      <w:r>
        <w:rPr>
          <w:rFonts w:ascii="Arial" w:cs="Arial" w:eastAsia="Arial" w:hAnsi="Arial"/>
          <w:b/>
          <w:bCs/>
          <w:color w:val="1B5E4A"/>
          <w:sz w:val="28"/>
          <w:szCs w:val="28"/>
          <w:rtl/>
        </w:rPr>
        <w:t xml:space="preserve">٣. فحص المستندات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1B5E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الملاحظات</w:t>
            </w:r>
          </w:p>
        </w:tc>
        <w:tc>
          <w:tcPr>
            <w:tcW w:type="pct" w:w="20%"/>
            <w:shd w:fill="1B5E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الوزن القانوني</w:t>
            </w:r>
          </w:p>
        </w:tc>
        <w:tc>
          <w:tcPr>
            <w:tcW w:type="pct" w:w="15%"/>
            <w:shd w:fill="1B5E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الحالة</w:t>
            </w:r>
          </w:p>
        </w:tc>
        <w:tc>
          <w:tcPr>
            <w:tcW w:type="pct" w:w="40%"/>
            <w:shd w:fill="1B5E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المستند</w:t>
            </w:r>
          </w:p>
        </w:tc>
      </w:tr>
      <w:tr>
        <w:tc>
          <w:tcPr>
            <w:tcW w:type="pct" w:w="25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]</w:t>
            </w:r>
          </w:p>
        </w:tc>
        <w:tc>
          <w:tcPr>
            <w:tcW w:type="pct" w:w="20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قوي  ☐ متوسط  ☐ ضعيف</w:t>
            </w:r>
          </w:p>
        </w:tc>
        <w:tc>
          <w:tcPr>
            <w:tcW w:type="pct" w:w="15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متوفر  ☐ ناقص</w:t>
            </w:r>
          </w:p>
        </w:tc>
        <w:tc>
          <w:tcPr>
            <w:tcW w:type="pct" w:w="40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                    ]</w:t>
            </w:r>
          </w:p>
        </w:tc>
      </w:tr>
      <w:tr>
        <w:tc>
          <w:tcPr>
            <w:tcW w:type="pct" w:w="25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]</w:t>
            </w:r>
          </w:p>
        </w:tc>
        <w:tc>
          <w:tcPr>
            <w:tcW w:type="pct" w:w="20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قوي  ☐ متوسط  ☐ ضعيف</w:t>
            </w:r>
          </w:p>
        </w:tc>
        <w:tc>
          <w:tcPr>
            <w:tcW w:type="pct" w:w="15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متوفر  ☐ ناقص</w:t>
            </w:r>
          </w:p>
        </w:tc>
        <w:tc>
          <w:tcPr>
            <w:tcW w:type="pct" w:w="40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                    ]</w:t>
            </w:r>
          </w:p>
        </w:tc>
      </w:tr>
      <w:tr>
        <w:tc>
          <w:tcPr>
            <w:tcW w:type="pct" w:w="25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]</w:t>
            </w:r>
          </w:p>
        </w:tc>
        <w:tc>
          <w:tcPr>
            <w:tcW w:type="pct" w:w="20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قوي  ☐ متوسط  ☐ ضعيف</w:t>
            </w:r>
          </w:p>
        </w:tc>
        <w:tc>
          <w:tcPr>
            <w:tcW w:type="pct" w:w="15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متوفر  ☐ ناقص</w:t>
            </w:r>
          </w:p>
        </w:tc>
        <w:tc>
          <w:tcPr>
            <w:tcW w:type="pct" w:w="40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                    ]</w:t>
            </w:r>
          </w:p>
        </w:tc>
      </w:tr>
      <w:tr>
        <w:tc>
          <w:tcPr>
            <w:tcW w:type="pct" w:w="25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]</w:t>
            </w:r>
          </w:p>
        </w:tc>
        <w:tc>
          <w:tcPr>
            <w:tcW w:type="pct" w:w="20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قوي  ☐ متوسط  ☐ ضعيف</w:t>
            </w:r>
          </w:p>
        </w:tc>
        <w:tc>
          <w:tcPr>
            <w:tcW w:type="pct" w:w="15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متوفر  ☐ ناقص</w:t>
            </w:r>
          </w:p>
        </w:tc>
        <w:tc>
          <w:tcPr>
            <w:tcW w:type="pct" w:w="40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                    ]</w:t>
            </w:r>
          </w:p>
        </w:tc>
      </w:tr>
    </w:tbl>
    <w:p>
      <w:pPr>
        <w:pBdr>
          <w:bottom w:val="single" w:color="C9A227" w:sz="12"/>
        </w:pBdr>
        <w:bidi/>
        <w:spacing w:before="400" w:after="200"/>
        <w:jc w:val="right"/>
      </w:pPr>
      <w:r>
        <w:rPr>
          <w:rFonts w:ascii="Arial" w:cs="Arial" w:eastAsia="Arial" w:hAnsi="Arial"/>
          <w:b/>
          <w:bCs/>
          <w:color w:val="1B5E4A"/>
          <w:sz w:val="28"/>
          <w:szCs w:val="28"/>
          <w:rtl/>
        </w:rPr>
        <w:t xml:space="preserve">٤. المسارات القانونية المتاحة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shd w:fill="1B5E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المسار البديل</w:t>
            </w:r>
          </w:p>
        </w:tc>
        <w:tc>
          <w:tcPr>
            <w:tcW w:type="pct" w:w="50%"/>
            <w:shd w:fill="1B5E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المسار الموصى به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الوصف:</w:t>
            </w:r>
          </w:p>
          <w:p>
            <w:pPr>
              <w:spacing w:after="15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                             ]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المميزات:</w:t>
            </w:r>
          </w:p>
          <w:p>
            <w:pPr>
              <w:spacing w:after="15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                             ]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العيوب: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                             ]</w:t>
            </w:r>
          </w:p>
        </w:tc>
        <w:tc>
          <w:tcPr>
            <w:tcW w:type="pct" w:w="50%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الوصف:</w:t>
            </w:r>
          </w:p>
          <w:p>
            <w:pPr>
              <w:spacing w:after="15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                             ]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المميزات:</w:t>
            </w:r>
          </w:p>
          <w:p>
            <w:pPr>
              <w:spacing w:after="15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                             ]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العيوب: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                             ]</w:t>
            </w:r>
          </w:p>
        </w:tc>
      </w:tr>
    </w:tbl>
    <w:p>
      <w:pPr>
        <w:pBdr>
          <w:bottom w:val="single" w:color="C9A227" w:sz="12"/>
        </w:pBdr>
        <w:bidi/>
        <w:spacing w:before="400" w:after="200"/>
        <w:jc w:val="right"/>
      </w:pPr>
      <w:r>
        <w:rPr>
          <w:rFonts w:ascii="Arial" w:cs="Arial" w:eastAsia="Arial" w:hAnsi="Arial"/>
          <w:b/>
          <w:bCs/>
          <w:color w:val="1B5E4A"/>
          <w:sz w:val="28"/>
          <w:szCs w:val="28"/>
          <w:rtl/>
        </w:rPr>
        <w:t xml:space="preserve">٥. المخاطر والمكتسبات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shd w:fill="1B5E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المخاطر المحتملة</w:t>
            </w:r>
          </w:p>
        </w:tc>
        <w:tc>
          <w:tcPr>
            <w:tcW w:type="pct" w:w="50%"/>
            <w:shd w:fill="1B5E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نقاط القوة</w:t>
            </w:r>
          </w:p>
        </w:tc>
      </w:tr>
      <w:tr>
        <w:tc>
          <w:tcPr>
            <w:tcW w:type="pct" w:w="50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1. [                              ]</w:t>
            </w:r>
          </w:p>
        </w:tc>
        <w:tc>
          <w:tcPr>
            <w:tcW w:type="pct" w:w="50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1. [                              ]</w:t>
            </w:r>
          </w:p>
        </w:tc>
      </w:tr>
      <w:tr>
        <w:tc>
          <w:tcPr>
            <w:tcW w:type="pct" w:w="50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2. [                              ]</w:t>
            </w:r>
          </w:p>
        </w:tc>
        <w:tc>
          <w:tcPr>
            <w:tcW w:type="pct" w:w="50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2. [                              ]</w:t>
            </w:r>
          </w:p>
        </w:tc>
      </w:tr>
      <w:tr>
        <w:tc>
          <w:tcPr>
            <w:tcW w:type="pct" w:w="50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3. [                              ]</w:t>
            </w:r>
          </w:p>
        </w:tc>
        <w:tc>
          <w:tcPr>
            <w:tcW w:type="pct" w:w="50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3. [                              ]</w:t>
            </w:r>
          </w:p>
        </w:tc>
      </w:tr>
    </w:tbl>
    <w:p>
      <w:pPr>
        <w:pBdr>
          <w:bottom w:val="single" w:color="C9A227" w:sz="12"/>
        </w:pBdr>
        <w:bidi/>
        <w:spacing w:before="400" w:after="200"/>
        <w:jc w:val="right"/>
      </w:pPr>
      <w:r>
        <w:rPr>
          <w:rFonts w:ascii="Arial" w:cs="Arial" w:eastAsia="Arial" w:hAnsi="Arial"/>
          <w:b/>
          <w:bCs/>
          <w:color w:val="1B5E4A"/>
          <w:sz w:val="28"/>
          <w:szCs w:val="28"/>
          <w:rtl/>
        </w:rPr>
        <w:t xml:space="preserve">٦. فريق العمل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B5E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موعد التسليم</w:t>
            </w:r>
          </w:p>
        </w:tc>
        <w:tc>
          <w:tcPr>
            <w:tcW w:type="pct" w:w="30%"/>
            <w:shd w:fill="1B5E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المهمة</w:t>
            </w:r>
          </w:p>
        </w:tc>
        <w:tc>
          <w:tcPr>
            <w:tcW w:type="pct" w:w="25%"/>
            <w:shd w:fill="1B5E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المكلف</w:t>
            </w:r>
          </w:p>
        </w:tc>
        <w:tc>
          <w:tcPr>
            <w:tcW w:type="pct" w:w="25%"/>
            <w:shd w:fill="1B5E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الدور</w:t>
            </w:r>
          </w:p>
        </w:tc>
      </w:tr>
      <w:tr>
        <w:tc>
          <w:tcPr>
            <w:tcW w:type="pct" w:w="20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]</w:t>
            </w:r>
          </w:p>
        </w:tc>
        <w:tc>
          <w:tcPr>
            <w:tcW w:type="pct" w:w="30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          ]</w:t>
            </w:r>
          </w:p>
        </w:tc>
        <w:tc>
          <w:tcPr>
            <w:tcW w:type="pct" w:w="25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    ]</w:t>
            </w:r>
          </w:p>
        </w:tc>
        <w:tc>
          <w:tcPr>
            <w:tcW w:type="pct" w:w="25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المستشار الرئيسي</w:t>
            </w:r>
          </w:p>
        </w:tc>
      </w:tr>
      <w:tr>
        <w:tc>
          <w:tcPr>
            <w:tcW w:type="pct" w:w="20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]</w:t>
            </w:r>
          </w:p>
        </w:tc>
        <w:tc>
          <w:tcPr>
            <w:tcW w:type="pct" w:w="30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          ]</w:t>
            </w:r>
          </w:p>
        </w:tc>
        <w:tc>
          <w:tcPr>
            <w:tcW w:type="pct" w:w="25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    ]</w:t>
            </w:r>
          </w:p>
        </w:tc>
        <w:tc>
          <w:tcPr>
            <w:tcW w:type="pct" w:w="25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المستشار المساعد</w:t>
            </w:r>
          </w:p>
        </w:tc>
      </w:tr>
      <w:tr>
        <w:tc>
          <w:tcPr>
            <w:tcW w:type="pct" w:w="20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]</w:t>
            </w:r>
          </w:p>
        </w:tc>
        <w:tc>
          <w:tcPr>
            <w:tcW w:type="pct" w:w="30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          ]</w:t>
            </w:r>
          </w:p>
        </w:tc>
        <w:tc>
          <w:tcPr>
            <w:tcW w:type="pct" w:w="25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    ]</w:t>
            </w:r>
          </w:p>
        </w:tc>
        <w:tc>
          <w:tcPr>
            <w:tcW w:type="pct" w:w="25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الباحث القانوني</w:t>
            </w:r>
          </w:p>
        </w:tc>
      </w:tr>
      <w:tr>
        <w:tc>
          <w:tcPr>
            <w:tcW w:type="pct" w:w="20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]</w:t>
            </w:r>
          </w:p>
        </w:tc>
        <w:tc>
          <w:tcPr>
            <w:tcW w:type="pct" w:w="30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          ]</w:t>
            </w:r>
          </w:p>
        </w:tc>
        <w:tc>
          <w:tcPr>
            <w:tcW w:type="pct" w:w="25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    ]</w:t>
            </w:r>
          </w:p>
        </w:tc>
        <w:tc>
          <w:tcPr>
            <w:tcW w:type="pct" w:w="25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المنسق الإداري</w:t>
            </w:r>
          </w:p>
        </w:tc>
      </w:tr>
    </w:tbl>
    <w:p>
      <w:pPr>
        <w:pBdr>
          <w:bottom w:val="single" w:color="C9A227" w:sz="12"/>
        </w:pBdr>
        <w:bidi/>
        <w:spacing w:before="400" w:after="200"/>
        <w:jc w:val="right"/>
      </w:pPr>
      <w:r>
        <w:rPr>
          <w:rFonts w:ascii="Arial" w:cs="Arial" w:eastAsia="Arial" w:hAnsi="Arial"/>
          <w:b/>
          <w:bCs/>
          <w:color w:val="1B5E4A"/>
          <w:sz w:val="28"/>
          <w:szCs w:val="28"/>
          <w:rtl/>
        </w:rPr>
        <w:t xml:space="preserve">٧. خطة العمل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25%"/>
            <w:shd w:fill="1B5E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التاريخ المستهدف</w:t>
            </w:r>
          </w:p>
        </w:tc>
        <w:tc>
          <w:tcPr>
            <w:tcW w:type="pct" w:w="40%"/>
            <w:shd w:fill="1B5E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المخرج المتوقع</w:t>
            </w:r>
          </w:p>
        </w:tc>
        <w:tc>
          <w:tcPr>
            <w:tcW w:type="pct" w:w="35%"/>
            <w:shd w:fill="1B5E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المرحلة</w:t>
            </w:r>
          </w:p>
        </w:tc>
      </w:tr>
      <w:tr>
        <w:tc>
          <w:tcPr>
            <w:tcW w:type="pct" w:w="25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]</w:t>
            </w:r>
          </w:p>
        </w:tc>
        <w:tc>
          <w:tcPr>
            <w:tcW w:type="pct" w:w="40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                    ]</w:t>
            </w:r>
          </w:p>
        </w:tc>
        <w:tc>
          <w:tcPr>
            <w:tcW w:type="pct" w:w="35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دراسة وتحليل القضية</w:t>
            </w:r>
          </w:p>
        </w:tc>
      </w:tr>
      <w:tr>
        <w:tc>
          <w:tcPr>
            <w:tcW w:type="pct" w:w="25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]</w:t>
            </w:r>
          </w:p>
        </w:tc>
        <w:tc>
          <w:tcPr>
            <w:tcW w:type="pct" w:w="40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                    ]</w:t>
            </w:r>
          </w:p>
        </w:tc>
        <w:tc>
          <w:tcPr>
            <w:tcW w:type="pct" w:w="35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إعداد المذكرات القانونية</w:t>
            </w:r>
          </w:p>
        </w:tc>
      </w:tr>
      <w:tr>
        <w:tc>
          <w:tcPr>
            <w:tcW w:type="pct" w:w="25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]</w:t>
            </w:r>
          </w:p>
        </w:tc>
        <w:tc>
          <w:tcPr>
            <w:tcW w:type="pct" w:w="40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                    ]</w:t>
            </w:r>
          </w:p>
        </w:tc>
        <w:tc>
          <w:tcPr>
            <w:tcW w:type="pct" w:w="35%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تقديم الطلبات والمرافعات</w:t>
            </w:r>
          </w:p>
        </w:tc>
      </w:tr>
      <w:tr>
        <w:tc>
          <w:tcPr>
            <w:tcW w:type="pct" w:w="25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]</w:t>
            </w:r>
          </w:p>
        </w:tc>
        <w:tc>
          <w:tcPr>
            <w:tcW w:type="pct" w:w="40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[                              ]</w:t>
            </w:r>
          </w:p>
        </w:tc>
        <w:tc>
          <w:tcPr>
            <w:tcW w:type="pct" w:w="35%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المتابعة والتنفيذ</w:t>
            </w:r>
          </w:p>
        </w:tc>
      </w:tr>
    </w:tbl>
    <w:p>
      <w:pPr>
        <w:pBdr>
          <w:bottom w:val="single" w:color="C9A227" w:sz="12"/>
        </w:pBdr>
        <w:bidi/>
        <w:spacing w:before="400" w:after="200"/>
        <w:jc w:val="right"/>
      </w:pPr>
      <w:r>
        <w:rPr>
          <w:rFonts w:ascii="Arial" w:cs="Arial" w:eastAsia="Arial" w:hAnsi="Arial"/>
          <w:b/>
          <w:bCs/>
          <w:color w:val="1B5E4A"/>
          <w:sz w:val="28"/>
          <w:szCs w:val="28"/>
          <w:rtl/>
        </w:rPr>
        <w:t xml:space="preserve">٨. الرأي الفني الأولي</w:t>
      </w:r>
    </w:p>
    <w:p>
      <w:pPr>
        <w:bidi/>
        <w:spacing w:before="200"/>
        <w:jc w:val="right"/>
      </w:pPr>
      <w:r>
        <w:rPr>
          <w:rFonts w:ascii="Arial" w:cs="Arial" w:eastAsia="Arial" w:hAnsi="Arial"/>
          <w:b/>
          <w:bCs/>
          <w:color w:val="1B5E4A"/>
          <w:sz w:val="24"/>
          <w:szCs w:val="24"/>
          <w:rtl/>
        </w:rPr>
        <w:t xml:space="preserve">التوصية: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1B5E4A" w:sz="8"/>
              <w:left w:val="single" w:color="1B5E4A" w:sz="8"/>
              <w:bottom w:val="single" w:color="1B5E4A" w:sz="8"/>
              <w:right w:val="single" w:color="1B5E4A" w:sz="8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                                                                                                         ]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                                                                                                         ]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                                                                                                         ]</w:t>
            </w:r>
          </w:p>
        </w:tc>
      </w:tr>
    </w:tbl>
    <w:p>
      <w:pPr>
        <w:bidi/>
        <w:spacing w:before="300"/>
        <w:jc w:val="right"/>
      </w:pPr>
      <w:r>
        <w:rPr>
          <w:rFonts w:ascii="Arial" w:cs="Arial" w:eastAsia="Arial" w:hAnsi="Arial"/>
          <w:b/>
          <w:bCs/>
          <w:color w:val="1B5E4A"/>
          <w:sz w:val="24"/>
          <w:szCs w:val="24"/>
          <w:rtl/>
        </w:rPr>
        <w:t xml:space="preserve">الأسباب والمسوغات: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1B5E4A" w:sz="8"/>
              <w:left w:val="single" w:color="1B5E4A" w:sz="8"/>
              <w:bottom w:val="single" w:color="1B5E4A" w:sz="8"/>
              <w:right w:val="single" w:color="1B5E4A" w:sz="8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١. [                                                            ]</w:t>
            </w:r>
          </w:p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٢. [                                                            ]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٣. [                                                            ]</w:t>
            </w:r>
          </w:p>
        </w:tc>
      </w:tr>
    </w:tbl>
    <w:p>
      <w:pPr>
        <w:pBdr>
          <w:bottom w:val="single" w:color="C9A227" w:sz="12"/>
        </w:pBdr>
        <w:bidi/>
        <w:spacing w:before="400" w:after="200"/>
        <w:jc w:val="right"/>
      </w:pPr>
      <w:r>
        <w:rPr>
          <w:rFonts w:ascii="Arial" w:cs="Arial" w:eastAsia="Arial" w:hAnsi="Arial"/>
          <w:b/>
          <w:bCs/>
          <w:color w:val="1B5E4A"/>
          <w:sz w:val="28"/>
          <w:szCs w:val="28"/>
          <w:rtl/>
        </w:rPr>
        <w:t xml:space="preserve">٩. التوقيعات والاعتماد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shd w:fill="1B5E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اعتماد المدير</w:t>
            </w:r>
          </w:p>
        </w:tc>
        <w:tc>
          <w:tcPr>
            <w:tcW w:type="pct" w:w="50%"/>
            <w:shd w:fill="1B5E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إعداد المستشار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100"/>
            </w:pPr>
          </w:p>
          <w:p>
            <w:pPr>
              <w:bidi/>
              <w:spacing w:after="20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الاسم: ________________________</w:t>
            </w:r>
          </w:p>
          <w:p>
            <w:pPr>
              <w:bidi/>
              <w:spacing w:after="20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التوقيع: ________________________</w:t>
            </w:r>
          </w:p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التاريخ: ________________________</w:t>
            </w:r>
          </w:p>
        </w:tc>
        <w:tc>
          <w:tcPr>
            <w:tcW w:type="pct" w:w="50%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100"/>
            </w:pPr>
          </w:p>
          <w:p>
            <w:pPr>
              <w:bidi/>
              <w:spacing w:after="20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الاسم: ________________________</w:t>
            </w:r>
          </w:p>
          <w:p>
            <w:pPr>
              <w:bidi/>
              <w:spacing w:after="20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التوقيع: ________________________</w:t>
            </w:r>
          </w:p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التاريخ: ________________________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color w:val="C9A227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bidi/>
        <w:spacing w:before="100" w:after="100"/>
        <w:jc w:val="center"/>
      </w:pPr>
      <w:r>
        <w:rPr>
          <w:rFonts w:ascii="Arial" w:cs="Arial" w:eastAsia="Arial" w:hAnsi="Arial"/>
          <w:i/>
          <w:iCs/>
          <w:color w:val="1B5E4A"/>
          <w:sz w:val="18"/>
          <w:szCs w:val="18"/>
          <w:rtl/>
        </w:rPr>
        <w:t xml:space="preserve">هذه الوثيقة سرية ومعدة حصرياً لأغراض وثقى للاستشارات القانونية</w:t>
      </w:r>
    </w:p>
    <w:p>
      <w:pPr>
        <w:jc w:val="center"/>
      </w:pPr>
      <w:r>
        <w:rPr>
          <w:rFonts w:ascii="Arial" w:cs="Arial" w:eastAsia="Arial" w:hAnsi="Arial"/>
          <w:color w:val="C9A227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C9A227"/>
        <w:sz w:val="16"/>
        <w:szCs w:val="16"/>
      </w:rPr>
      <w:t xml:space="preserve">━━━━━━━━━━━━━━━━━━━━━━━━━━━━━━━━━━━━━━━━━━━━━━━━━━━━━━━━━━━━━━━━━━━━━━━━━━━━━</w:t>
    </w:r>
  </w:p>
  <w:p>
    <w:pPr>
      <w:bidi/>
      <w:jc w:val="center"/>
    </w:pPr>
    <w:r>
      <w:rPr>
        <w:rFonts w:ascii="Arial" w:cs="Arial" w:eastAsia="Arial" w:hAnsi="Arial"/>
        <w:color w:val="1B5E4A"/>
        <w:sz w:val="18"/>
        <w:szCs w:val="18"/>
      </w:rPr>
      <w:t xml:space="preserve">سري وخاص - للاستخدام الداخلي فقط</w:t>
    </w:r>
    <w:r>
      <w:t xml:space="preserve">    |    </w:t>
    </w:r>
    <w:r>
      <w:t xml:space="preserve">صفحة </w:t>
    </w:r>
    <w:r>
      <w:fldChar w:fldCharType="begin"/>
      <w:instrText xml:space="preserve">PAGE</w:instrText>
      <w:fldChar w:fldCharType="separate"/>
      <w:fldChar w:fldCharType="end"/>
    </w:r>
    <w:r>
      <w:t xml:space="preserve"> من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C9A227"/>
        <w:sz w:val="16"/>
        <w:szCs w:val="16"/>
      </w:rPr>
      <w:t xml:space="preserve">━━━━━━━━━━━━━━━━━━━━━━━━━━━━━━━━━━━━━━━━━━━━━━━━━━━━━━━━━━━━━━━━━━━━━━━━━━━━━</w:t>
    </w:r>
  </w:p>
  <w:p>
    <w:pPr>
      <w:bidi/>
      <w:spacing w:before="100"/>
      <w:jc w:val="center"/>
    </w:pPr>
    <w:r>
      <w:rPr>
        <w:rFonts w:ascii="Arial" w:cs="Arial" w:eastAsia="Arial" w:hAnsi="Arial"/>
        <w:b/>
        <w:bCs/>
        <w:color w:val="1B5E4A"/>
        <w:sz w:val="32"/>
        <w:szCs w:val="32"/>
        <w:rtl/>
      </w:rPr>
      <w:t xml:space="preserve">وثقى للاستشارات القانونية</w:t>
    </w:r>
  </w:p>
  <w:p>
    <w:pPr>
      <w:spacing w:after="100"/>
      <w:jc w:val="center"/>
    </w:pPr>
    <w:r>
      <w:rPr>
        <w:rFonts w:ascii="Arial" w:cs="Arial" w:eastAsia="Arial" w:hAnsi="Arial"/>
        <w:color w:val="C9A227"/>
        <w:sz w:val="20"/>
        <w:szCs w:val="20"/>
      </w:rPr>
      <w:t xml:space="preserve">WATHQA LEGAL CONSULTANCY</w:t>
    </w:r>
  </w:p>
  <w:p>
    <w:pPr>
      <w:jc w:val="center"/>
    </w:pPr>
    <w:r>
      <w:rPr>
        <w:rFonts w:ascii="Arial" w:cs="Arial" w:eastAsia="Arial" w:hAnsi="Arial"/>
        <w:color w:val="C9A227"/>
        <w:sz w:val="16"/>
        <w:szCs w:val="16"/>
      </w:rPr>
      <w:t xml:space="preserve">━━━━━━━━━━━━━━━━━━━━━━━━━━━━━━━━━━━━━━━━━━━━━━━━━━━━━━━━━━━━━━━━━━━━━━━━━━━━━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jc w:val="righ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2025-12-03T07:49:40.439Z</dcterms:created>
  <dcterms:modified xsi:type="dcterms:W3CDTF">2025-12-03T07:49:40.440Z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