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200" w:line="252" w:lineRule="auto"/>
        <w:jc w:val="left"/>
      </w:pPr>
      <w:r>
        <w:rPr>
          <w:rFonts w:ascii="Microsoft YaHei" w:hAnsi="Microsoft YaHei" w:eastAsia="Microsoft YaHei"/>
          <w:b/>
          <w:color w:val="000000"/>
          <w:sz w:val="56"/>
        </w:rPr>
        <w:t>YimiLife OEM ODM 页面改造计划</w:t>
      </w:r>
    </w:p>
    <w:p>
      <w:pPr>
        <w:keepNext w:val="0"/>
        <w:spacing w:before="0" w:after="360" w:line="324" w:lineRule="auto"/>
      </w:pPr>
      <w:r>
        <w:rPr>
          <w:rFonts w:ascii="Microsoft YaHei" w:hAnsi="Microsoft YaHei" w:eastAsia="Microsoft YaHei"/>
          <w:color w:val="4B5563"/>
          <w:sz w:val="26"/>
        </w:rPr>
        <w:t>详细审阅稿  版本 1.0  2026 年 9 月 5 日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本计划用于审阅 YimiLife 官网 OEM/ODM 页面的新结构、交互方式、线索获取流程和技术实施范围。核心建议是将页面改造成一套清晰的项目选择与需求提交工具，使海外 B2B 买家能够判断 OEM 或 ODM 路径、理解定制输入和预期输出，并提交可供人工跟进的有效项目线索。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适用对象：YimiLife 网站项目负责人、产品团队、工程团队、销售团队及页面开发人员。</w:t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审阅方式</w:t>
      </w:r>
    </w:p>
    <w:p>
      <w:pPr>
        <w:pStyle w:val="ListNumber"/>
        <w:keepNext w:val="0"/>
        <w:spacing w:before="0" w:after="80" w:line="312" w:lineRule="auto"/>
      </w:pPr>
      <w:r>
        <w:rPr>
          <w:rFonts w:ascii="Microsoft YaHei" w:hAnsi="Microsoft YaHei" w:eastAsia="Microsoft YaHei"/>
          <w:color w:val="1F2937"/>
          <w:sz w:val="20"/>
        </w:rPr>
        <w:t>先确认 OEM 和 ODM 的公开服务范围以及页面主叙事。</w:t>
      </w:r>
    </w:p>
    <w:p>
      <w:pPr>
        <w:pStyle w:val="ListNumber"/>
        <w:keepNext w:val="0"/>
        <w:spacing w:before="0" w:after="80" w:line="312" w:lineRule="auto"/>
      </w:pPr>
      <w:r>
        <w:rPr>
          <w:rFonts w:ascii="Microsoft YaHei" w:hAnsi="Microsoft YaHei" w:eastAsia="Microsoft YaHei"/>
          <w:color w:val="1F2937"/>
          <w:sz w:val="20"/>
        </w:rPr>
        <w:t>再确认交互式定制工具的产品底图、点亮区域和客户可选项目。</w:t>
      </w:r>
    </w:p>
    <w:p>
      <w:pPr>
        <w:pStyle w:val="ListNumber"/>
        <w:keepNext w:val="0"/>
        <w:spacing w:before="0" w:after="80" w:line="312" w:lineRule="auto"/>
      </w:pPr>
      <w:r>
        <w:rPr>
          <w:rFonts w:ascii="Microsoft YaHei" w:hAnsi="Microsoft YaHei" w:eastAsia="Microsoft YaHei"/>
          <w:color w:val="1F2937"/>
          <w:sz w:val="20"/>
        </w:rPr>
        <w:t>确认 Logo 文件、邮箱和项目数据的接收方式、保留规则及内部负责人。</w:t>
      </w:r>
    </w:p>
    <w:p>
      <w:pPr>
        <w:pStyle w:val="ListNumber"/>
        <w:keepNext w:val="0"/>
        <w:spacing w:before="0" w:after="80" w:line="312" w:lineRule="auto"/>
      </w:pPr>
      <w:r>
        <w:rPr>
          <w:rFonts w:ascii="Microsoft YaHei" w:hAnsi="Microsoft YaHei" w:eastAsia="Microsoft YaHei"/>
          <w:color w:val="1F2937"/>
          <w:sz w:val="20"/>
        </w:rPr>
        <w:t>在文末决策确认表填写选择；各章节的审阅备注可直接输入修改意见。</w:t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一 方案摘要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现有页面已经覆盖买家类型、产品平台、定制范围、项目流程、制造基础和常见问题，但 OEM 与 ODM 没有形成明确的选择路径。新页面应优先解决项目分流，再通过可视化交互解释定制范围，最后使用 Logo 上传和项目表单承接询盘。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701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74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页面变化</w:t>
            </w:r>
          </w:p>
        </w:tc>
        <w:tc>
          <w:tcPr>
            <w:tcW w:type="dxa" w:w="374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预期作用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项目分流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首屏和核心区块明确区分 OEM 与 ODM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减少买家自行理解术语的成本</w:t>
            </w:r>
          </w:p>
        </w:tc>
      </w:tr>
      <w:tr>
        <w:trPr>
          <w:cantSplit w:val="true"/>
        </w:trPr>
        <w:tc>
          <w:tcPr>
            <w:tcW w:type="dxa" w:w="170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能力可视化</w:t>
            </w:r>
          </w:p>
        </w:tc>
        <w:tc>
          <w:tcPr>
            <w:tcW w:type="dxa" w:w="374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选择需求后点亮产品或包装的对应区域</w:t>
            </w:r>
          </w:p>
        </w:tc>
        <w:tc>
          <w:tcPr>
            <w:tcW w:type="dxa" w:w="374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帮助买家理解定制需求会影响什么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线索获取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接收工作邮箱、Logo 和基础项目数据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形成可由销售人工继续跟进的有效线索</w:t>
            </w:r>
          </w:p>
        </w:tc>
      </w:tr>
      <w:tr>
        <w:trPr>
          <w:cantSplit w:val="true"/>
        </w:trPr>
        <w:tc>
          <w:tcPr>
            <w:tcW w:type="dxa" w:w="170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风险控制</w:t>
            </w:r>
          </w:p>
        </w:tc>
        <w:tc>
          <w:tcPr>
            <w:tcW w:type="dxa" w:w="374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说明网页预览、工程审核和样品确认的边界</w:t>
            </w:r>
          </w:p>
        </w:tc>
        <w:tc>
          <w:tcPr>
            <w:tcW w:type="dxa" w:w="374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避免将概念效果图理解为最终生产承诺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二 已确认事实与表达边界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二点一 已确认业务事实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YimiLife 公开承接外观设计、结构修改、功能开发、开模和工程样机相关的 ODM 项目。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公司定位为面向海外医疗品牌、渠道商和 OEM/ODM 客户的 B2B medical device manufacturer。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核心产品为 Pulse Oximeter、Blood Pressure Monitor 和 Wearable Monitoring Devices。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制造场地面积统一使用 3,000㎡，月产能统一使用 300,000 units。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认证背书统一使用 25+ FDA / MDR / NMPA certified models。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血氧仪生产线标定口径为 100% calibrated with Fluke Index 2 simulator。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二点二 必须控制的表达边界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ODM 能力应表述为工程开发、制造准备和项目协作能力，不承诺注册、临床验证或上市结果。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页面效果图属于早期沟通参考，最终外观、结构、材料和生产可行性以工程评审与样品确认为准。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证书适用范围必须按具体型号和目标市场确认。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不得使用 FDA approved、clinically proven、guaranteed accuracy、zero bias 等未获确认的高风险表述。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Wearable Monitoring Devices 的量产、上市、认证和临床验证状态不得从产品方向自行推断。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审阅备注</w:t>
      </w:r>
    </w:p>
    <w:p>
      <w:pPr>
        <w:keepNext/>
        <w:spacing w:before="0" w:after="80" w:line="288" w:lineRule="auto"/>
      </w:pPr>
      <w:r>
        <w:rPr>
          <w:rFonts w:ascii="Microsoft YaHei" w:hAnsi="Microsoft YaHei" w:eastAsia="Microsoft YaHei"/>
          <w:color w:val="1F2937"/>
          <w:sz w:val="19"/>
        </w:rPr>
        <w:t>审阅结论  ☐ 同意  ☐ 修改后同意  ☐ 需要重做</w:t>
      </w:r>
    </w:p>
    <w:p>
      <w:pPr>
        <w:keepNext/>
        <w:spacing w:before="0" w:after="60" w:line="300" w:lineRule="auto"/>
      </w:pPr>
      <w:r>
        <w:rPr>
          <w:rFonts w:ascii="Microsoft YaHei" w:hAnsi="Microsoft YaHei" w:eastAsia="Microsoft YaHei"/>
          <w:color w:val="4B5563"/>
          <w:sz w:val="18"/>
        </w:rPr>
        <w:t>重点确认  确认以上 ODM 服务范围、固定数据和公开表达边界是否准确。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修改意见  </w:t>
        <w:br/>
        <w:br/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补充事实  </w:t>
        <w:br/>
        <w:br/>
      </w:r>
    </w:p>
    <w:p>
      <w:r>
        <w:br w:type="page"/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三 页面目标与验收方向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页面应让首次访问的海外采购者在短时间内理解服务差异，并能够从阅读进入选择、预览和提交。建议以以下可观察结果作为设计判断标准。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814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判断项目</w:t>
            </w:r>
          </w:p>
        </w:tc>
        <w:tc>
          <w:tcPr>
            <w:tcW w:type="dxa" w:w="402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目标状态</w:t>
            </w:r>
          </w:p>
        </w:tc>
        <w:tc>
          <w:tcPr>
            <w:tcW w:type="dxa" w:w="334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检查方式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路径理解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用户在 5 至 10 秒内说清 OEM 与 ODM 的主要区别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首屏与路径卡片可用性检查</w:t>
            </w:r>
          </w:p>
        </w:tc>
      </w:tr>
      <w:tr>
        <w:trPr>
          <w:cantSplit w:val="true"/>
        </w:trPr>
        <w:tc>
          <w:tcPr>
            <w:tcW w:type="dxa" w:w="181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内容密度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核心差异用短标签、图标、箭头和对比关系表达</w:t>
            </w:r>
          </w:p>
        </w:tc>
        <w:tc>
          <w:tcPr>
            <w:tcW w:type="dxa" w:w="334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桌面与移动端视觉检查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交互反馈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每个可选定制项目都有对应点亮区域和输出说明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逐项点击检查</w:t>
            </w:r>
          </w:p>
        </w:tc>
      </w:tr>
      <w:tr>
        <w:trPr>
          <w:cantSplit w:val="true"/>
        </w:trPr>
        <w:tc>
          <w:tcPr>
            <w:tcW w:type="dxa" w:w="181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表单连续性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已选路径和需求自动带入询盘表单</w:t>
            </w:r>
          </w:p>
        </w:tc>
        <w:tc>
          <w:tcPr>
            <w:tcW w:type="dxa" w:w="334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状态与提交数据检查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线索完整性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内部能够收到邮箱、Logo 和项目摘要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端到端提交测试</w:t>
            </w:r>
          </w:p>
        </w:tc>
      </w:tr>
      <w:tr>
        <w:trPr>
          <w:cantSplit w:val="true"/>
        </w:trPr>
        <w:tc>
          <w:tcPr>
            <w:tcW w:type="dxa" w:w="181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合规边界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效果图、证书和工程交付物均保留必要条件</w:t>
            </w:r>
          </w:p>
        </w:tc>
        <w:tc>
          <w:tcPr>
            <w:tcW w:type="dxa" w:w="334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文案与结构化数据检查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四 新页面信息架构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680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984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区块</w:t>
            </w:r>
          </w:p>
        </w:tc>
        <w:tc>
          <w:tcPr>
            <w:tcW w:type="dxa" w:w="4309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2211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主要动作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Hero</w:t>
            </w:r>
          </w:p>
        </w:tc>
        <w:tc>
          <w:tcPr>
            <w:tcW w:type="dxa" w:w="43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制造商定位、OEM 与 ODM 双路径概览</w:t>
            </w:r>
          </w:p>
        </w:tc>
        <w:tc>
          <w:tcPr>
            <w:tcW w:type="dxa" w:w="22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选择 OEM 或启动 ODM 项目</w:t>
            </w:r>
          </w:p>
        </w:tc>
      </w:tr>
      <w:tr>
        <w:trPr>
          <w:cantSplit w:val="true"/>
        </w:trPr>
        <w:tc>
          <w:tcPr>
            <w:tcW w:type="dxa" w:w="680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Choose Your Path</w:t>
            </w:r>
          </w:p>
        </w:tc>
        <w:tc>
          <w:tcPr>
            <w:tcW w:type="dxa" w:w="430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两张大型路径卡片和清晰输入输出</w:t>
            </w:r>
          </w:p>
        </w:tc>
        <w:tc>
          <w:tcPr>
            <w:tcW w:type="dxa" w:w="221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选中项目路径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OEM vs ODM</w:t>
            </w:r>
          </w:p>
        </w:tc>
        <w:tc>
          <w:tcPr>
            <w:tcW w:type="dxa" w:w="43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产品基础、工程深度、样品和周期对比</w:t>
            </w:r>
          </w:p>
        </w:tc>
        <w:tc>
          <w:tcPr>
            <w:tcW w:type="dxa" w:w="22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确认适合的服务</w:t>
            </w:r>
          </w:p>
        </w:tc>
      </w:tr>
      <w:tr>
        <w:trPr>
          <w:cantSplit w:val="true"/>
        </w:trPr>
        <w:tc>
          <w:tcPr>
            <w:tcW w:type="dxa" w:w="680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Customization Studio</w:t>
            </w:r>
          </w:p>
        </w:tc>
        <w:tc>
          <w:tcPr>
            <w:tcW w:type="dxa" w:w="430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需求选择、局部点亮和 Logo 概念叠加</w:t>
            </w:r>
          </w:p>
        </w:tc>
        <w:tc>
          <w:tcPr>
            <w:tcW w:type="dxa" w:w="221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配置项目需求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Preview Request</w:t>
            </w:r>
          </w:p>
        </w:tc>
        <w:tc>
          <w:tcPr>
            <w:tcW w:type="dxa" w:w="43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Logo、工作邮箱和基础项目字段</w:t>
            </w:r>
          </w:p>
        </w:tc>
        <w:tc>
          <w:tcPr>
            <w:tcW w:type="dxa" w:w="22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提交预览申请</w:t>
            </w:r>
          </w:p>
        </w:tc>
      </w:tr>
      <w:tr>
        <w:trPr>
          <w:cantSplit w:val="true"/>
        </w:trPr>
        <w:tc>
          <w:tcPr>
            <w:tcW w:type="dxa" w:w="680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Product Platforms</w:t>
            </w:r>
          </w:p>
        </w:tc>
        <w:tc>
          <w:tcPr>
            <w:tcW w:type="dxa" w:w="430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三类产品平台与适用项目标签</w:t>
            </w:r>
          </w:p>
        </w:tc>
        <w:tc>
          <w:tcPr>
            <w:tcW w:type="dxa" w:w="221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进入产品页或继续配置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Project Process</w:t>
            </w:r>
          </w:p>
        </w:tc>
        <w:tc>
          <w:tcPr>
            <w:tcW w:type="dxa" w:w="43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OEM 与 ODM 两套流程</w:t>
            </w:r>
          </w:p>
        </w:tc>
        <w:tc>
          <w:tcPr>
            <w:tcW w:type="dxa" w:w="22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理解项目推进方式</w:t>
            </w:r>
          </w:p>
        </w:tc>
      </w:tr>
      <w:tr>
        <w:trPr>
          <w:cantSplit w:val="true"/>
        </w:trPr>
        <w:tc>
          <w:tcPr>
            <w:tcW w:type="dxa" w:w="680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Manufacturing Trust</w:t>
            </w:r>
          </w:p>
        </w:tc>
        <w:tc>
          <w:tcPr>
            <w:tcW w:type="dxa" w:w="430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制造、产能、认证与质量体系</w:t>
            </w:r>
          </w:p>
        </w:tc>
        <w:tc>
          <w:tcPr>
            <w:tcW w:type="dxa" w:w="221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查看制造与质量详情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FAQ and CTA</w:t>
            </w:r>
          </w:p>
        </w:tc>
        <w:tc>
          <w:tcPr>
            <w:tcW w:type="dxa" w:w="43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关键问题、最终提交入口</w:t>
            </w:r>
          </w:p>
        </w:tc>
        <w:tc>
          <w:tcPr>
            <w:tcW w:type="dxa" w:w="22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完成询盘</w:t>
            </w:r>
          </w:p>
        </w:tc>
      </w:tr>
    </w:tbl>
    <w:p>
      <w:pPr>
        <w:spacing w:after="40"/>
      </w:pP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建议删除或合并现有的 Who We Support、通用 OEM/ODM Scope 和独立 Requirement Checklist，避免新旧解释重复。Product Platforms、Quality 和 FAQ 保留，但移动到路径选择与互动工具之后。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审阅备注</w:t>
      </w:r>
    </w:p>
    <w:p>
      <w:pPr>
        <w:keepNext/>
        <w:spacing w:before="0" w:after="80" w:line="288" w:lineRule="auto"/>
      </w:pPr>
      <w:r>
        <w:rPr>
          <w:rFonts w:ascii="Microsoft YaHei" w:hAnsi="Microsoft YaHei" w:eastAsia="Microsoft YaHei"/>
          <w:color w:val="1F2937"/>
          <w:sz w:val="19"/>
        </w:rPr>
        <w:t>审阅结论  ☐ 同意  ☐ 修改后同意  ☐ 需要重做</w:t>
      </w:r>
    </w:p>
    <w:p>
      <w:pPr>
        <w:keepNext/>
        <w:spacing w:before="0" w:after="60" w:line="300" w:lineRule="auto"/>
      </w:pPr>
      <w:r>
        <w:rPr>
          <w:rFonts w:ascii="Microsoft YaHei" w:hAnsi="Microsoft YaHei" w:eastAsia="Microsoft YaHei"/>
          <w:color w:val="4B5563"/>
          <w:sz w:val="18"/>
        </w:rPr>
        <w:t>重点确认  确认区块顺序、保留内容和计划删除或合并的现有区块。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修改意见  </w:t>
        <w:br/>
        <w:br/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补充事实  </w:t>
        <w:br/>
        <w:br/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五 Hero 与双路径入口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五点一 Hero 信息结构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361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元素</w:t>
            </w:r>
          </w:p>
        </w:tc>
        <w:tc>
          <w:tcPr>
            <w:tcW w:type="dxa" w:w="4706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建议内容</w:t>
            </w:r>
          </w:p>
        </w:tc>
        <w:tc>
          <w:tcPr>
            <w:tcW w:type="dxa" w:w="3118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设计要求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Eyebrow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MEDICAL DEVICE OEM AND ODM MANUFACTURER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保持短小并明确制造商身份</w:t>
            </w:r>
          </w:p>
        </w:tc>
      </w:tr>
      <w:tr>
        <w:trPr>
          <w:cantSplit w:val="true"/>
        </w:trPr>
        <w:tc>
          <w:tcPr>
            <w:tcW w:type="dxa" w:w="136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H1</w:t>
            </w:r>
          </w:p>
        </w:tc>
        <w:tc>
          <w:tcPr>
            <w:tcW w:type="dxa" w:w="4706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Choose the Right Path for Your Medical Device Project</w:t>
            </w:r>
          </w:p>
        </w:tc>
        <w:tc>
          <w:tcPr>
            <w:tcW w:type="dxa" w:w="311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只设置一个 H1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说明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解释现有平台私标定制与新产品工程开发两条路径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控制在两至三行</w:t>
            </w:r>
          </w:p>
        </w:tc>
      </w:tr>
      <w:tr>
        <w:trPr>
          <w:cantSplit w:val="true"/>
        </w:trPr>
        <w:tc>
          <w:tcPr>
            <w:tcW w:type="dxa" w:w="136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主 CTA</w:t>
            </w:r>
          </w:p>
        </w:tc>
        <w:tc>
          <w:tcPr>
            <w:tcW w:type="dxa" w:w="4706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Explore OEM Options</w:t>
            </w:r>
          </w:p>
        </w:tc>
        <w:tc>
          <w:tcPr>
            <w:tcW w:type="dxa" w:w="311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跳转 OEM 路径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次 CTA</w:t>
            </w:r>
          </w:p>
        </w:tc>
        <w:tc>
          <w:tcPr>
            <w:tcW w:type="dxa" w:w="47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Start an ODM Project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跳转 ODM 路径或表单</w:t>
            </w:r>
          </w:p>
        </w:tc>
      </w:tr>
      <w:tr>
        <w:trPr>
          <w:cantSplit w:val="true"/>
        </w:trPr>
        <w:tc>
          <w:tcPr>
            <w:tcW w:type="dxa" w:w="136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右侧视觉</w:t>
            </w:r>
          </w:p>
        </w:tc>
        <w:tc>
          <w:tcPr>
            <w:tcW w:type="dxa" w:w="4706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Existing Product 到 OEM 到 Brand Ready Product；Product Concept 到 ODM 到 Engineering Sample</w:t>
            </w:r>
          </w:p>
        </w:tc>
        <w:tc>
          <w:tcPr>
            <w:tcW w:type="dxa" w:w="311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用箭头和图标，不使用长段落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五点二 OEM 路径卡片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建议标题为 OEM Customize an Existing Product Platform。卡片面向希望基于现有 YimiLife 产品平台完成品牌化和市场配置的客户。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459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客户输入</w:t>
            </w:r>
          </w:p>
        </w:tc>
        <w:tc>
          <w:tcPr>
            <w:tcW w:type="dxa" w:w="459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YimiLife 项目输出</w:t>
            </w:r>
          </w:p>
        </w:tc>
      </w:tr>
      <w:tr>
        <w:trPr>
          <w:cantSplit w:val="true"/>
        </w:trPr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产品型号、Logo、产品颜色、包装、标签与 IFU、配件、连接选项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产品配置建议、Logo 位置预览、包装概念预览、定制样品计划、生产可行性审核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五点三 ODM 路径卡片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建议标题为 ODM Develop or Modify a Medical Device。卡片面向开发新产品或需要改变产品外观、结构和功能的客户。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459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客户输入</w:t>
            </w:r>
          </w:p>
        </w:tc>
        <w:tc>
          <w:tcPr>
            <w:tcW w:type="dxa" w:w="459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YimiLife 项目输出</w:t>
            </w:r>
          </w:p>
        </w:tc>
      </w:tr>
      <w:tr>
        <w:trPr>
          <w:cantSplit w:val="true"/>
        </w:trPr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产品概念、目标市场、目标用户、功能要求、外观方向、结构要求、数量与时间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需求与可行性审核、工业设计方向、结构开发、功能开发、开模计划、工程样机、试产规划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六 OEM 与 ODM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判断维度</w:t>
            </w:r>
          </w:p>
        </w:tc>
        <w:tc>
          <w:tcPr>
            <w:tcW w:type="dxa" w:w="357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OEM</w:t>
            </w:r>
          </w:p>
        </w:tc>
        <w:tc>
          <w:tcPr>
            <w:tcW w:type="dxa" w:w="357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ODM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Product basis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Existing YimiLife platform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New or modified product</w:t>
            </w:r>
          </w:p>
        </w:tc>
      </w:tr>
      <w:tr>
        <w:trPr>
          <w:cantSplit w:val="true"/>
        </w:trPr>
        <w:tc>
          <w:tcPr>
            <w:tcW w:type="dxa" w:w="204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Best for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Private label and market configuration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Product development and engineering changes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Main inputs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Model, logo, color and packaging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Concept, function, appearance and structure</w:t>
            </w:r>
          </w:p>
        </w:tc>
      </w:tr>
      <w:tr>
        <w:trPr>
          <w:cantSplit w:val="true"/>
        </w:trPr>
        <w:tc>
          <w:tcPr>
            <w:tcW w:type="dxa" w:w="204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Engineering depth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Selected configuration changes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Industrial, structural and functional development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Sample type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Customized product sample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Engineering prototype and project sample</w:t>
            </w:r>
          </w:p>
        </w:tc>
      </w:tr>
      <w:tr>
        <w:trPr>
          <w:cantSplit w:val="true"/>
        </w:trPr>
        <w:tc>
          <w:tcPr>
            <w:tcW w:type="dxa" w:w="204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Tooling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Usually not required or limited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May include new or modified tooling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Project cycle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Generally shorter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Depends on development scope</w:t>
            </w:r>
          </w:p>
        </w:tc>
      </w:tr>
      <w:tr>
        <w:trPr>
          <w:cantSplit w:val="true"/>
        </w:trPr>
        <w:tc>
          <w:tcPr>
            <w:tcW w:type="dxa" w:w="204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First step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Select a product platform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Submit a development brief</w:t>
            </w:r>
          </w:p>
        </w:tc>
      </w:tr>
    </w:tbl>
    <w:p>
      <w:pPr>
        <w:spacing w:after="40"/>
      </w:pP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移动端不保留横向宽表。每个判断维度转换成一组 OEM 与 ODM 对应卡片，保持顺序一致并避免横向滚动。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审阅备注</w:t>
      </w:r>
    </w:p>
    <w:p>
      <w:pPr>
        <w:keepNext/>
        <w:spacing w:before="0" w:after="80" w:line="288" w:lineRule="auto"/>
      </w:pPr>
      <w:r>
        <w:rPr>
          <w:rFonts w:ascii="Microsoft YaHei" w:hAnsi="Microsoft YaHei" w:eastAsia="Microsoft YaHei"/>
          <w:color w:val="1F2937"/>
          <w:sz w:val="19"/>
        </w:rPr>
        <w:t>审阅结论  ☐ 同意  ☐ 修改后同意  ☐ 需要重做</w:t>
      </w:r>
    </w:p>
    <w:p>
      <w:pPr>
        <w:keepNext/>
        <w:spacing w:before="0" w:after="60" w:line="300" w:lineRule="auto"/>
      </w:pPr>
      <w:r>
        <w:rPr>
          <w:rFonts w:ascii="Microsoft YaHei" w:hAnsi="Microsoft YaHei" w:eastAsia="Microsoft YaHei"/>
          <w:color w:val="4B5563"/>
          <w:sz w:val="18"/>
        </w:rPr>
        <w:t>重点确认  确认 Hero 英文方向、两张路径卡片的输入输出，以及 OEM 与 ODM 对比维度。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修改意见  </w:t>
        <w:br/>
        <w:br/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补充事实  </w:t>
        <w:br/>
        <w:br/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七 交互式定制工具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七点一 交互目标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第一版采用二维产品效果图、交互热点和 Logo 实时叠加。该方式可以在不引入三维模型和新 UI 库的情况下，稳定展示客户选择会影响的产品区域和项目交付物。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七点二 桌面布局</w:t>
      </w:r>
    </w:p>
    <w:p>
      <w:pPr>
        <w:keepNext w:val="0"/>
        <w:spacing w:before="80" w:after="200" w:line="360" w:lineRule="auto"/>
        <w:jc w:val="center"/>
      </w:pPr>
      <w:r>
        <w:rPr>
          <w:rFonts w:ascii="Microsoft YaHei" w:hAnsi="Microsoft YaHei" w:eastAsia="Microsoft YaHei"/>
          <w:color w:val="1F2937"/>
          <w:sz w:val="18"/>
        </w:rPr>
        <w:t>定制需求选择                         产品与包装视觉预览</w:t>
        <w:br/>
        <w:t>产品型号   Logo   产品颜色             产品图  对应区域点亮</w:t>
        <w:br/>
        <w:t>显示与 UI  包装   标签与 IFU           包装图  Logo 与包装区点亮</w:t>
        <w:br/>
        <w:t>配件       Bluetooth 或 SDK           当前选择与预期输出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七点三 OEM 点亮规则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984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客户选择</w:t>
            </w:r>
          </w:p>
        </w:tc>
        <w:tc>
          <w:tcPr>
            <w:tcW w:type="dxa" w:w="402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视觉反馈</w:t>
            </w:r>
          </w:p>
        </w:tc>
        <w:tc>
          <w:tcPr>
            <w:tcW w:type="dxa" w:w="317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输出说明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Logo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产品外壳 Logo 区域描边并叠加客户 Logo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Logo placement preview</w:t>
            </w:r>
          </w:p>
        </w:tc>
      </w:tr>
      <w:tr>
        <w:trPr>
          <w:cantSplit w:val="true"/>
        </w:trPr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Product color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产品外壳显示品牌色蒙层</w:t>
            </w:r>
          </w:p>
        </w:tc>
        <w:tc>
          <w:tcPr>
            <w:tcW w:type="dxa" w:w="317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Color direction preview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Display or UI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屏幕区域高亮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 and display review</w:t>
            </w:r>
          </w:p>
        </w:tc>
      </w:tr>
      <w:tr>
        <w:trPr>
          <w:cantSplit w:val="true"/>
        </w:trPr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Packaging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包装盒高亮并显示客户 Logo</w:t>
            </w:r>
          </w:p>
        </w:tc>
        <w:tc>
          <w:tcPr>
            <w:tcW w:type="dxa" w:w="317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Packaging concept preview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Label or IFU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标签和说明书区域高亮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Label and document layout review</w:t>
            </w:r>
          </w:p>
        </w:tc>
      </w:tr>
      <w:tr>
        <w:trPr>
          <w:cantSplit w:val="true"/>
        </w:trPr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Accessories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配件区域展开或高亮</w:t>
            </w:r>
          </w:p>
        </w:tc>
        <w:tc>
          <w:tcPr>
            <w:tcW w:type="dxa" w:w="317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Accessory configuration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Bluetooth or SDK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产品旁显示连接图标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Connectivity feasibility review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七点四 ODM 点亮规则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91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客户选择</w:t>
            </w:r>
          </w:p>
        </w:tc>
        <w:tc>
          <w:tcPr>
            <w:tcW w:type="dxa" w:w="6293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视觉反馈</w:t>
            </w:r>
          </w:p>
        </w:tc>
      </w:tr>
      <w:tr>
        <w:trPr>
          <w:cantSplit w:val="true"/>
        </w:trPr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Appearance design</w:t>
            </w:r>
          </w:p>
        </w:tc>
        <w:tc>
          <w:tcPr>
            <w:tcW w:type="dxa" w:w="62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点亮产品整体轮廓与外观区域</w:t>
            </w:r>
          </w:p>
        </w:tc>
      </w:tr>
      <w:tr>
        <w:trPr>
          <w:cantSplit w:val="true"/>
        </w:trPr>
        <w:tc>
          <w:tcPr>
            <w:tcW w:type="dxa" w:w="289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Structural modification</w:t>
            </w:r>
          </w:p>
        </w:tc>
        <w:tc>
          <w:tcPr>
            <w:tcW w:type="dxa" w:w="6293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点亮上壳、下壳或内部结构区域</w:t>
            </w:r>
          </w:p>
        </w:tc>
      </w:tr>
      <w:tr>
        <w:trPr>
          <w:cantSplit w:val="true"/>
        </w:trPr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Functional development</w:t>
            </w:r>
          </w:p>
        </w:tc>
        <w:tc>
          <w:tcPr>
            <w:tcW w:type="dxa" w:w="62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点亮屏幕、按键、传感器或功能模块区域</w:t>
            </w:r>
          </w:p>
        </w:tc>
      </w:tr>
      <w:tr>
        <w:trPr>
          <w:cantSplit w:val="true"/>
        </w:trPr>
        <w:tc>
          <w:tcPr>
            <w:tcW w:type="dxa" w:w="289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Tooling</w:t>
            </w:r>
          </w:p>
        </w:tc>
        <w:tc>
          <w:tcPr>
            <w:tcW w:type="dxa" w:w="6293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显示外壳与模具关系符号</w:t>
            </w:r>
          </w:p>
        </w:tc>
      </w:tr>
      <w:tr>
        <w:trPr>
          <w:cantSplit w:val="true"/>
        </w:trPr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Engineering prototype</w:t>
            </w:r>
          </w:p>
        </w:tc>
        <w:tc>
          <w:tcPr>
            <w:tcW w:type="dxa" w:w="62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显示独立工程样机阶段</w:t>
            </w:r>
          </w:p>
        </w:tc>
      </w:tr>
      <w:tr>
        <w:trPr>
          <w:cantSplit w:val="true"/>
        </w:trPr>
        <w:tc>
          <w:tcPr>
            <w:tcW w:type="dxa" w:w="289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Packaging development</w:t>
            </w:r>
          </w:p>
        </w:tc>
        <w:tc>
          <w:tcPr>
            <w:tcW w:type="dxa" w:w="6293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点亮产品旁的包装系统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七点五 交互细节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OEM 与 ODM 的路径选择应保持为全局状态，并同步影响工具选项、图像和 CTA。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选项使用图标、短标签和简短说明，不使用多层嵌套卡片。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选中状态使用品牌蓝绿色描边、半透明蒙层和简短标签，不使用闪烁效果。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上传 Logo 后仅在浏览器本地生成即时概念叠加；客户提交前不得自动传输文件。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移动端先显示选项，再显示固定比例预览图；避免左右双栏被压缩。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所有热点与选择项需要键盘可操作，并提供可读的状态文本。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建议在预览区显示边界说明：On page previews are visual references for early project discussion. Final appearance, structure, materials and production feasibility are confirmed through engineering review and sample approval.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审阅备注</w:t>
      </w:r>
    </w:p>
    <w:p>
      <w:pPr>
        <w:keepNext/>
        <w:spacing w:before="0" w:after="80" w:line="288" w:lineRule="auto"/>
      </w:pPr>
      <w:r>
        <w:rPr>
          <w:rFonts w:ascii="Microsoft YaHei" w:hAnsi="Microsoft YaHei" w:eastAsia="Microsoft YaHei"/>
          <w:color w:val="1F2937"/>
          <w:sz w:val="19"/>
        </w:rPr>
        <w:t>审阅结论  ☐ 同意  ☐ 修改后同意  ☐ 需要重做</w:t>
      </w:r>
    </w:p>
    <w:p>
      <w:pPr>
        <w:keepNext/>
        <w:spacing w:before="0" w:after="60" w:line="300" w:lineRule="auto"/>
      </w:pPr>
      <w:r>
        <w:rPr>
          <w:rFonts w:ascii="Microsoft YaHei" w:hAnsi="Microsoft YaHei" w:eastAsia="Microsoft YaHei"/>
          <w:color w:val="4B5563"/>
          <w:sz w:val="18"/>
        </w:rPr>
        <w:t>重点确认  确认首期采用二维交互方案；确认 OEM 和 ODM 每个需求所对应的点亮区域。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修改意见  </w:t>
        <w:br/>
        <w:br/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补充事实  </w:t>
        <w:br/>
        <w:br/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八 Logo 上传与询盘转化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八点一 转化主张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建议使用 Upload Your Logo and Request a Product and Packaging Preview 作为工具后的转化标题。页面提供即时概念预览；客户提交后，YimiLife 团队根据项目可行性准备后续产品与包装视觉沟通材料。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八点二 表单步骤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417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02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74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项目选择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OEM 或 ODM、产品类别、已选定制需求、产品平台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由互动工具自动带入</w:t>
            </w:r>
          </w:p>
        </w:tc>
      </w:tr>
      <w:tr>
        <w:trPr>
          <w:cantSplit w:val="true"/>
        </w:trPr>
        <w:tc>
          <w:tcPr>
            <w:tcW w:type="dxa" w:w="141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联系方式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Work Email、Company Name、Country or Target Market</w:t>
            </w:r>
          </w:p>
        </w:tc>
        <w:tc>
          <w:tcPr>
            <w:tcW w:type="dxa" w:w="374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邮箱必填；公司名称建议必填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Logo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PNG、JPG 或 JPEG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希望获得品牌预览时必填；最大 5 MB</w:t>
            </w:r>
          </w:p>
        </w:tc>
      </w:tr>
      <w:tr>
        <w:trPr>
          <w:cantSplit w:val="true"/>
        </w:trPr>
        <w:tc>
          <w:tcPr>
            <w:tcW w:type="dxa" w:w="141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项目补充</w:t>
            </w:r>
          </w:p>
        </w:tc>
        <w:tc>
          <w:tcPr>
            <w:tcW w:type="dxa" w:w="402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Expected Quantity、Additional Requirements</w:t>
            </w:r>
          </w:p>
        </w:tc>
        <w:tc>
          <w:tcPr>
            <w:tcW w:type="dxa" w:w="374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选填但用于提高线索质量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授权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项目沟通和数据使用同意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提交前明确勾选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八点三 首期文件限制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第一版建议只接受 PNG、JPG 和 JPEG，最大 5 MB。暂不接受 SVG、AI、CDR 或压缩包。销售进入人工沟通后再索取可编辑源文件，可以降低网页端脚本、恶意文件和解析失败风险。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八点四 提交后的用户反馈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明确显示项目类型和已收到的定制需求。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明确显示 Logo 是否上传成功。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说明 YimiLife 将先进行可行性审核，并通过提交邮箱联系客户。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如果上传或提交失败，应明确提示并保留客户已填写的信息。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在内部尚未确认时效前，不写 24 小时内发送效果图等固定承诺。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八点五 隐私与销售跟进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表单需要说明邮箱和 Logo 仅用于本次项目审核、视觉预览和后续服务沟通，并链接隐私政策。建议加入明确同意项：By submitting, you agree that YimiLife may use the provided contact information and logo file to review this project and follow up regarding the requested OEM/ODM service.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审阅备注</w:t>
      </w:r>
    </w:p>
    <w:p>
      <w:pPr>
        <w:keepNext/>
        <w:spacing w:before="0" w:after="80" w:line="288" w:lineRule="auto"/>
      </w:pPr>
      <w:r>
        <w:rPr>
          <w:rFonts w:ascii="Microsoft YaHei" w:hAnsi="Microsoft YaHei" w:eastAsia="Microsoft YaHei"/>
          <w:color w:val="1F2937"/>
          <w:sz w:val="19"/>
        </w:rPr>
        <w:t>审阅结论  ☐ 同意  ☐ 修改后同意  ☐ 需要重做</w:t>
      </w:r>
    </w:p>
    <w:p>
      <w:pPr>
        <w:keepNext/>
        <w:spacing w:before="0" w:after="60" w:line="300" w:lineRule="auto"/>
      </w:pPr>
      <w:r>
        <w:rPr>
          <w:rFonts w:ascii="Microsoft YaHei" w:hAnsi="Microsoft YaHei" w:eastAsia="Microsoft YaHei"/>
          <w:color w:val="4B5563"/>
          <w:sz w:val="18"/>
        </w:rPr>
        <w:t>重点确认  确认必填字段、Logo 文件规则、人工回图承诺方式、隐私同意和预期响应时间。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修改意见  </w:t>
        <w:br/>
        <w:br/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补充事实  </w:t>
        <w:br/>
        <w:br/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九 其他页面内容调整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九点一 Product Platforms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保留 Pulse Oximeter、Blood Pressure Monitor 和 Wearable Monitoring Devices 三类平台，放在路径选择与互动工具之后。卡片可增加 OEM ready platform、Configuration review 或 ODM feasibility review 等标签，但每项标签必须按真实产品成熟度确认。</w:t>
      </w:r>
    </w:p>
    <w:p>
      <w:r>
        <w:br w:type="page"/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九点二 OEM 与 ODM 双流程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459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OEM 流程</w:t>
            </w:r>
          </w:p>
        </w:tc>
        <w:tc>
          <w:tcPr>
            <w:tcW w:type="dxa" w:w="459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ODM 流程</w:t>
            </w:r>
          </w:p>
        </w:tc>
      </w:tr>
      <w:tr>
        <w:trPr>
          <w:cantSplit w:val="true"/>
        </w:trPr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Model Selection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Requirement Brief</w:t>
            </w:r>
          </w:p>
        </w:tc>
      </w:tr>
      <w:tr>
        <w:trPr>
          <w:cantSplit w:val="true"/>
        </w:trPr>
        <w:tc>
          <w:tcPr>
            <w:tcW w:type="dxa" w:w="459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Artwork and Configuration</w:t>
            </w:r>
          </w:p>
        </w:tc>
        <w:tc>
          <w:tcPr>
            <w:tcW w:type="dxa" w:w="459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Feasibility Review</w:t>
            </w:r>
          </w:p>
        </w:tc>
      </w:tr>
      <w:tr>
        <w:trPr>
          <w:cantSplit w:val="true"/>
        </w:trPr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Visual Proof and Sample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Industrial and Structural Design</w:t>
            </w:r>
          </w:p>
        </w:tc>
      </w:tr>
      <w:tr>
        <w:trPr>
          <w:cantSplit w:val="true"/>
        </w:trPr>
        <w:tc>
          <w:tcPr>
            <w:tcW w:type="dxa" w:w="459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Production Confirmation</w:t>
            </w:r>
          </w:p>
        </w:tc>
        <w:tc>
          <w:tcPr>
            <w:tcW w:type="dxa" w:w="459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Engineering Prototype</w:t>
            </w:r>
          </w:p>
        </w:tc>
      </w:tr>
      <w:tr>
        <w:trPr>
          <w:cantSplit w:val="true"/>
        </w:trPr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Manufacturing and Delivery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Tooling and Validation</w:t>
            </w:r>
          </w:p>
        </w:tc>
      </w:tr>
      <w:tr>
        <w:trPr>
          <w:cantSplit w:val="true"/>
        </w:trPr>
        <w:tc>
          <w:tcPr>
            <w:tcW w:type="dxa" w:w="459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</w:r>
          </w:p>
        </w:tc>
        <w:tc>
          <w:tcPr>
            <w:tcW w:type="dxa" w:w="459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Pilot Production</w:t>
            </w:r>
          </w:p>
        </w:tc>
      </w:tr>
      <w:tr>
        <w:trPr>
          <w:cantSplit w:val="true"/>
        </w:trPr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Manufacturing Planning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九点三 Manufacturing Trust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3,000㎡ manufacturing site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300,000 units monthly capacity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25+ FDA / MDR / NMPA certified models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ISO 13485 quality system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100% calibrated with Fluke Index 2 simulator，仅用于血氧仪生产线标定语境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当前页面中的 2,000㎡ 与固定业务口径冲突，实施时必须改为 3,000㎡。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九点四 FAQ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How do I choose between OEM and ODM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Can I upload my own logo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What will the product and packaging preview include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Can YimiLife develop a new appearance or structure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Does an ODM project include tooling and engineering samples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What information is needed before quotation</w:t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十 技术实施方案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十点一 页面组件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17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文件或目录</w:t>
            </w:r>
          </w:p>
        </w:tc>
        <w:tc>
          <w:tcPr>
            <w:tcW w:type="dxa" w:w="357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计划修改</w:t>
            </w:r>
          </w:p>
        </w:tc>
        <w:tc>
          <w:tcPr>
            <w:tcW w:type="dxa" w:w="2438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app/oem-odm/page.tsx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重组页面、文案、Metadata 和 JSON LD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保持服务端页面</w:t>
            </w:r>
          </w:p>
        </w:tc>
      </w:tr>
      <w:tr>
        <w:trPr>
          <w:cantSplit w:val="true"/>
        </w:trPr>
        <w:tc>
          <w:tcPr>
            <w:tcW w:type="dxa" w:w="317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components/oem-odm/OemOdmPathSelector.tsx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新增 OEM 与 ODM 路径选择</w:t>
            </w:r>
          </w:p>
        </w:tc>
        <w:tc>
          <w:tcPr>
            <w:tcW w:type="dxa" w:w="243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Client Component</w:t>
            </w:r>
          </w:p>
        </w:tc>
      </w:tr>
      <w:tr>
        <w:trPr>
          <w:cantSplit w:val="true"/>
        </w:trP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components/oem-odm/CustomizationVisualizer.tsx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新增点亮、Logo 叠加和需求状态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Client Component</w:t>
            </w:r>
          </w:p>
        </w:tc>
      </w:tr>
      <w:tr>
        <w:trPr>
          <w:cantSplit w:val="true"/>
        </w:trPr>
        <w:tc>
          <w:tcPr>
            <w:tcW w:type="dxa" w:w="317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components/oem-odm/OemOdmInquiryForm.tsx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新增表单、文件选择和提交状态</w:t>
            </w:r>
          </w:p>
        </w:tc>
        <w:tc>
          <w:tcPr>
            <w:tcW w:type="dxa" w:w="243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Client Component</w:t>
            </w:r>
          </w:p>
        </w:tc>
      </w:tr>
      <w:tr>
        <w:trPr>
          <w:cantSplit w:val="true"/>
        </w:trPr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app/api/oem-odm-inquiry/route.ts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服务端校验、文件处理和通知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接入方案确认后开发</w:t>
            </w:r>
          </w:p>
        </w:tc>
      </w:tr>
      <w:tr>
        <w:trPr>
          <w:cantSplit w:val="true"/>
        </w:trPr>
        <w:tc>
          <w:tcPr>
            <w:tcW w:type="dxa" w:w="317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public/oem-odm</w:t>
            </w:r>
          </w:p>
        </w:tc>
        <w:tc>
          <w:tcPr>
            <w:tcW w:type="dxa" w:w="357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新增经确认的产品和包装素材</w:t>
            </w:r>
          </w:p>
        </w:tc>
        <w:tc>
          <w:tcPr>
            <w:tcW w:type="dxa" w:w="243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不使用未经确认的产品效果图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十点二 前端状态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selectedPath 记录 OEM 或 ODM。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selectedProduct 记录产品平台或基础型号。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selectedOptions 记录定制需求。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logoPreview 仅保存本地预览地址，提交前不上传。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formState 记录邮箱、公司、市场、数量和附加要求。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上述状态共同生成客户可读的 Project Summary，并作为服务端提交数据。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十点三 后端需求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现有 Contact 表单使用 mailto 提交，无法可靠接收 Logo、保存项目数据、发送内部通知或返回真实提交状态。因此 Logo 询盘需要新增服务端接收能力。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587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082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需要确定</w:t>
            </w:r>
          </w:p>
        </w:tc>
        <w:tc>
          <w:tcPr>
            <w:tcW w:type="dxa" w:w="351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实施要求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文件存储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Vercel Blob、Cloudflare R2、AWS S3 或已有公司存储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私有访问、随机文件名、保留期限</w:t>
            </w:r>
          </w:p>
        </w:tc>
      </w:tr>
      <w:tr>
        <w:trPr>
          <w:cantSplit w:val="true"/>
        </w:trPr>
        <w:tc>
          <w:tcPr>
            <w:tcW w:type="dxa" w:w="158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邮件通知</w:t>
            </w:r>
          </w:p>
        </w:tc>
        <w:tc>
          <w:tcPr>
            <w:tcW w:type="dxa" w:w="408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企业 SMTP、Resend 或现有邮件服务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包含项目摘要与安全文件链接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询盘接收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内部接收邮箱和负责人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不得只依赖浏览器 mailto</w:t>
            </w:r>
          </w:p>
        </w:tc>
      </w:tr>
      <w:tr>
        <w:trPr>
          <w:cantSplit w:val="true"/>
        </w:trPr>
        <w:tc>
          <w:tcPr>
            <w:tcW w:type="dxa" w:w="158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反垃圾</w:t>
            </w:r>
          </w:p>
        </w:tc>
        <w:tc>
          <w:tcPr>
            <w:tcW w:type="dxa" w:w="4082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平台能力或服务端频率限制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加入 honeypot 和服务端校验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CRM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是否需要同步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建议第一版不做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十点四 文件安全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服务端同时检查扩展名、MIME 类型和文件签名，不只依赖浏览器字段。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限制文件大小和像素尺寸，拒绝可执行文件、脚本文件和压缩包。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文件使用随机名称并存储在非公开目录或私有对象存储中。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通知邮件使用受控下载链接，不直接暴露永久公开 URL。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记录提交成功或失败状态，但不在日志中输出完整个人信息。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审阅备注</w:t>
      </w:r>
    </w:p>
    <w:p>
      <w:pPr>
        <w:keepNext/>
        <w:spacing w:before="0" w:after="80" w:line="288" w:lineRule="auto"/>
      </w:pPr>
      <w:r>
        <w:rPr>
          <w:rFonts w:ascii="Microsoft YaHei" w:hAnsi="Microsoft YaHei" w:eastAsia="Microsoft YaHei"/>
          <w:color w:val="1F2937"/>
          <w:sz w:val="19"/>
        </w:rPr>
        <w:t>审阅结论  ☐ 同意  ☐ 修改后同意  ☐ 需要重做</w:t>
      </w:r>
    </w:p>
    <w:p>
      <w:pPr>
        <w:keepNext/>
        <w:spacing w:before="0" w:after="60" w:line="300" w:lineRule="auto"/>
      </w:pPr>
      <w:r>
        <w:rPr>
          <w:rFonts w:ascii="Microsoft YaHei" w:hAnsi="Microsoft YaHei" w:eastAsia="Microsoft YaHei"/>
          <w:color w:val="4B5563"/>
          <w:sz w:val="18"/>
        </w:rPr>
        <w:t>重点确认  确认后端服务、询盘邮箱、数据保存期限，以及是否接受第一版不接 CRM。</w:t>
      </w:r>
    </w:p>
    <w:p>
      <w:pPr>
        <w:keepNext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修改意见  </w:t>
        <w:br/>
        <w:br/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color w:val="1F2937"/>
          <w:sz w:val="19"/>
        </w:rPr>
        <w:t xml:space="preserve">补充事实  </w:t>
        <w:br/>
        <w:br/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十一 分阶段实施计划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304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969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实施内容</w:t>
            </w:r>
          </w:p>
        </w:tc>
        <w:tc>
          <w:tcPr>
            <w:tcW w:type="dxa" w:w="2268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可审阅结果</w:t>
            </w:r>
          </w:p>
        </w:tc>
        <w:tc>
          <w:tcPr>
            <w:tcW w:type="dxa" w:w="1644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 w:val="true"/>
        </w:trP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第一阶段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页面架构、静态视觉、OEM 与 ODM 路径和固定数据修正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完整静态页面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确认本计划</w:t>
            </w:r>
          </w:p>
        </w:tc>
      </w:tr>
      <w:tr>
        <w:trPr>
          <w:cantSplit w:val="true"/>
        </w:trPr>
        <w:tc>
          <w:tcPr>
            <w:tcW w:type="dxa" w:w="130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第二阶段</w:t>
            </w:r>
          </w:p>
        </w:tc>
        <w:tc>
          <w:tcPr>
            <w:tcW w:type="dxa" w:w="396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路径切换、需求多选、局部点亮、Logo 本地预览和表单联动</w:t>
            </w:r>
          </w:p>
        </w:tc>
        <w:tc>
          <w:tcPr>
            <w:tcW w:type="dxa" w:w="226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可操作前端原型</w:t>
            </w:r>
          </w:p>
        </w:tc>
        <w:tc>
          <w:tcPr>
            <w:tcW w:type="dxa" w:w="164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确认底图与热点</w:t>
            </w:r>
          </w:p>
        </w:tc>
      </w:tr>
      <w:tr>
        <w:trPr>
          <w:cantSplit w:val="true"/>
        </w:trP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第三阶段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对象存储、邮件通知、服务端验证、隐私和反垃圾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真实端到端询盘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确认服务和环境配置</w:t>
            </w:r>
          </w:p>
        </w:tc>
      </w:tr>
      <w:tr>
        <w:trPr>
          <w:cantSplit w:val="true"/>
        </w:trPr>
        <w:tc>
          <w:tcPr>
            <w:tcW w:type="dxa" w:w="130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第四阶段</w:t>
            </w:r>
          </w:p>
        </w:tc>
        <w:tc>
          <w:tcPr>
            <w:tcW w:type="dxa" w:w="396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正式产品与包装素材、响应式和细节优化</w:t>
            </w:r>
          </w:p>
        </w:tc>
        <w:tc>
          <w:tcPr>
            <w:tcW w:type="dxa" w:w="226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候选发布版本</w:t>
            </w:r>
          </w:p>
        </w:tc>
        <w:tc>
          <w:tcPr>
            <w:tcW w:type="dxa" w:w="164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确认视觉素材</w:t>
            </w:r>
          </w:p>
        </w:tc>
      </w:tr>
    </w:tbl>
    <w:p>
      <w:pPr>
        <w:spacing w:after="40"/>
      </w:pP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每一阶段单独检查并保留可回滚边界。未确认后端服务前，可以完成前两阶段，但网页只能进行本地 Logo 预览，不能声称已收到文件。</w:t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十二 验证计划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十二点一 自动检查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运行 npm run lint。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运行 npm run build。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检查 OEM/ODM 页面 Metadata、canonical、Service 和 FAQ 结构化数据。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检查所有图片路径、替代文本和交互控件状态。</w:t>
      </w:r>
    </w:p>
    <w:p>
      <w:pPr>
        <w:pStyle w:val="Heading2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十二点二 浏览器检查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1701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7483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检查内容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桌面端</w:t>
            </w:r>
          </w:p>
        </w:tc>
        <w:tc>
          <w:tcPr>
            <w:tcW w:type="dxa" w:w="7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1440、1280 和 1024 像素宽度下的卡片高度、双栏比例、点亮位置和 CTA</w:t>
            </w:r>
          </w:p>
        </w:tc>
      </w:tr>
      <w:tr>
        <w:trPr>
          <w:cantSplit w:val="true"/>
        </w:trPr>
        <w:tc>
          <w:tcPr>
            <w:tcW w:type="dxa" w:w="170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移动端</w:t>
            </w:r>
          </w:p>
        </w:tc>
        <w:tc>
          <w:tcPr>
            <w:tcW w:type="dxa" w:w="7483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390 和 430 像素宽度下无横向滚动、无裁切、按钮可点击、预览图不过长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交互</w:t>
            </w:r>
          </w:p>
        </w:tc>
        <w:tc>
          <w:tcPr>
            <w:tcW w:type="dxa" w:w="7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路径切换、每个热点、Logo 更换与删除、表单状态同步</w:t>
            </w:r>
          </w:p>
        </w:tc>
      </w:tr>
      <w:tr>
        <w:trPr>
          <w:cantSplit w:val="true"/>
        </w:trPr>
        <w:tc>
          <w:tcPr>
            <w:tcW w:type="dxa" w:w="170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表单</w:t>
            </w:r>
          </w:p>
        </w:tc>
        <w:tc>
          <w:tcPr>
            <w:tcW w:type="dxa" w:w="7483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必填校验、错误格式、超大文件、失败重试、成功状态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端到端</w:t>
            </w:r>
          </w:p>
        </w:tc>
        <w:tc>
          <w:tcPr>
            <w:tcW w:type="dxa" w:w="7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内部收到项目摘要、邮箱和安全文件链接，并可按流程回复客户</w:t>
            </w:r>
          </w:p>
        </w:tc>
      </w:tr>
      <w:tr>
        <w:trPr>
          <w:cantSplit w:val="true"/>
        </w:trPr>
        <w:tc>
          <w:tcPr>
            <w:tcW w:type="dxa" w:w="170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可访问性</w:t>
            </w:r>
          </w:p>
        </w:tc>
        <w:tc>
          <w:tcPr>
            <w:tcW w:type="dxa" w:w="7483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键盘操作、焦点样式、状态文本、图片替代文本和颜色对比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十三 主要风险与控制措施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984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061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可能影响</w:t>
            </w:r>
          </w:p>
        </w:tc>
        <w:tc>
          <w:tcPr>
            <w:tcW w:type="dxa" w:w="4139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ODM 表达过度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客户误解工程、注册或上市承诺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将交付物限定为项目评审、设计方向、样机和生产规划</w:t>
            </w:r>
          </w:p>
        </w:tc>
      </w:tr>
      <w:tr>
        <w:trPr>
          <w:cantSplit w:val="true"/>
        </w:trPr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效果图预期过高</w:t>
            </w:r>
          </w:p>
        </w:tc>
        <w:tc>
          <w:tcPr>
            <w:tcW w:type="dxa" w:w="306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客户将概念图视为最终产品</w:t>
            </w:r>
          </w:p>
        </w:tc>
        <w:tc>
          <w:tcPr>
            <w:tcW w:type="dxa" w:w="413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在预览区、提交区和邮件中重复说明审核与样品边界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未经确认的产品底图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产品真实性和品牌风险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只使用内部确认的真实产品或经批准的中性示意图</w:t>
            </w:r>
          </w:p>
        </w:tc>
      </w:tr>
      <w:tr>
        <w:trPr>
          <w:cantSplit w:val="true"/>
        </w:trPr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Logo 文件风险</w:t>
            </w:r>
          </w:p>
        </w:tc>
        <w:tc>
          <w:tcPr>
            <w:tcW w:type="dxa" w:w="306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恶意文件、公开泄露或超大存储</w:t>
            </w:r>
          </w:p>
        </w:tc>
        <w:tc>
          <w:tcPr>
            <w:tcW w:type="dxa" w:w="413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格式、签名、大小、私有存储和删除规则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表单丢失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无法获得有效线索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服务端提交、明确状态、通知监控和失败重试</w:t>
            </w:r>
          </w:p>
        </w:tc>
      </w:tr>
      <w:tr>
        <w:trPr>
          <w:cantSplit w:val="true"/>
        </w:trPr>
        <w:tc>
          <w:tcPr>
            <w:tcW w:type="dxa" w:w="1984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移动端信息过长</w:t>
            </w:r>
          </w:p>
        </w:tc>
        <w:tc>
          <w:tcPr>
            <w:tcW w:type="dxa" w:w="3061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路径和交互难以使用</w:t>
            </w:r>
          </w:p>
        </w:tc>
        <w:tc>
          <w:tcPr>
            <w:tcW w:type="dxa" w:w="4139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卡片化对比、选项优先、预览后置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页面范围膨胀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开发周期和维护成本上升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首期使用二维交互，不引入 3D 或 CRM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十四 实施前决策确认表</w:t>
      </w:r>
    </w:p>
    <w:p>
      <w:pPr>
        <w:keepNext w:val="0"/>
        <w:spacing w:before="0"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以下决策会直接影响页面文案、交互素材或后端实现。请在决定列填写选择，并在备注列补充限制。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737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00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待确认事项</w:t>
            </w:r>
          </w:p>
        </w:tc>
        <w:tc>
          <w:tcPr>
            <w:tcW w:type="dxa" w:w="3515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当前建议</w:t>
            </w:r>
          </w:p>
        </w:tc>
        <w:tc>
          <w:tcPr>
            <w:tcW w:type="dxa" w:w="1928"/>
            <w:shd w:fill="1235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决定与备注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D1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OEM 与 ODM 页面主标题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强调两条项目路径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D2</w:t>
            </w:r>
          </w:p>
        </w:tc>
        <w:tc>
          <w:tcPr>
            <w:tcW w:type="dxa" w:w="300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首期交互形式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二维产品图、热点点亮和 Logo 叠加</w:t>
            </w:r>
          </w:p>
        </w:tc>
        <w:tc>
          <w:tcPr>
            <w:tcW w:type="dxa" w:w="192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D3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首期展示的基础产品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先选择一个真实且素材完整的产品型号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D4</w:t>
            </w:r>
          </w:p>
        </w:tc>
        <w:tc>
          <w:tcPr>
            <w:tcW w:type="dxa" w:w="300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人工回传内容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产品与包装概念效果图，经过可行性审核后发送</w:t>
            </w:r>
          </w:p>
        </w:tc>
        <w:tc>
          <w:tcPr>
            <w:tcW w:type="dxa" w:w="192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D5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公开响应时效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未确认前不显示固定小时数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D6</w:t>
            </w:r>
          </w:p>
        </w:tc>
        <w:tc>
          <w:tcPr>
            <w:tcW w:type="dxa" w:w="300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Logo 格式与大小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PNG、JPG、JPEG，最大 5 MB</w:t>
            </w:r>
          </w:p>
        </w:tc>
        <w:tc>
          <w:tcPr>
            <w:tcW w:type="dxa" w:w="192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D7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文件存储服务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从现有公司服务中选择私有存储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D8</w:t>
            </w:r>
          </w:p>
        </w:tc>
        <w:tc>
          <w:tcPr>
            <w:tcW w:type="dxa" w:w="300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邮件发送方式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企业 SMTP 或已批准邮件服务</w:t>
            </w:r>
          </w:p>
        </w:tc>
        <w:tc>
          <w:tcPr>
            <w:tcW w:type="dxa" w:w="192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D9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询盘接收邮箱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由项目负责人指定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D10</w:t>
            </w:r>
          </w:p>
        </w:tc>
        <w:tc>
          <w:tcPr>
            <w:tcW w:type="dxa" w:w="300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数据保留期限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由隐私和销售流程共同确定</w:t>
            </w:r>
          </w:p>
        </w:tc>
        <w:tc>
          <w:tcPr>
            <w:tcW w:type="dxa" w:w="192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D11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CRM 同步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第一版不做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D12</w:t>
            </w:r>
          </w:p>
        </w:tc>
        <w:tc>
          <w:tcPr>
            <w:tcW w:type="dxa" w:w="300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现有 Contact 页处理</w:t>
            </w:r>
          </w:p>
        </w:tc>
        <w:tc>
          <w:tcPr>
            <w:tcW w:type="dxa" w:w="3515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OEM/ODM 页先独立提交，后续再决定是否统一</w:t>
            </w:r>
          </w:p>
        </w:tc>
        <w:tc>
          <w:tcPr>
            <w:tcW w:type="dxa" w:w="1928"/>
            <w:shd w:fill="F6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十五 总体审阅意见</w:t>
      </w:r>
    </w:p>
    <w:p>
      <w:pPr>
        <w:keepNext w:val="0"/>
        <w:spacing w:before="0" w:after="200" w:line="312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总体结论  ☐ 批准进入第一阶段  ☐ 修改后进入第一阶段  ☐ 暂缓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必须修改的内容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建议补充的业务事实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视觉方向意见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功能与技术意见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pStyle w:val="Heading3"/>
        <w:keepNext/>
        <w:spacing w:before="18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其他备注</w:t>
      </w:r>
    </w:p>
    <w:p>
      <w:pPr>
        <w:keepNext w:val="0"/>
        <w:spacing w:before="0" w:after="80" w:line="264" w:lineRule="auto"/>
      </w:pPr>
      <w:r>
        <w:t xml:space="preserve"> </w:t>
      </w:r>
    </w:p>
    <w:p>
      <w:pPr>
        <w:keepNext w:val="0"/>
        <w:spacing w:before="0" w:after="80" w:line="264" w:lineRule="auto"/>
      </w:pPr>
      <w:r>
        <w:t xml:space="preserve"> </w:t>
      </w:r>
    </w:p>
    <w:p>
      <w:r>
        <w:br w:type="page"/>
      </w:r>
    </w:p>
    <w:p>
      <w:pPr>
        <w:pStyle w:val="Heading1"/>
        <w:keepNext/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附录 页面来源与当前代码位置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竞品研究页面 https://axdcare.com/oem-odm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YimiLife 当前页面 app/oem-odm/page.tsx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YimiLife 当前联系页面 app/contact/page.tsx</w:t>
      </w:r>
    </w:p>
    <w:p>
      <w:pPr>
        <w:pStyle w:val="ListBullet"/>
        <w:keepNext w:val="0"/>
        <w:spacing w:before="0" w:after="60" w:line="312" w:lineRule="auto"/>
      </w:pPr>
      <w:r>
        <w:rPr>
          <w:rFonts w:ascii="Microsoft YaHei" w:hAnsi="Microsoft YaHei" w:eastAsia="Microsoft YaHei"/>
          <w:color w:val="1F2937"/>
          <w:sz w:val="20"/>
        </w:rPr>
        <w:t>当前 OEM/ODM 页面制造场地数据位于 app/oem-odm/page.tsx 第 194 行附近，实施时改为 3,000㎡。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4B5563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4B556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4B5563"/>
        <w:sz w:val="17"/>
      </w:rPr>
      <w:t>YimiLife OEM ODM 页面改造计划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