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color w:val="1a202c"/>
          <w:sz w:val="32"/>
          <w:szCs w:val="32"/>
          <w:rtl w:val="0"/>
        </w:rPr>
        <w:t xml:space="preserve">TEMPLATE: SHORT GAME DESIGN DOCUMENT (SGDD)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color w:val="4a5568"/>
          <w:sz w:val="22"/>
          <w:szCs w:val="22"/>
          <w:rtl w:val="0"/>
        </w:rPr>
        <w:t xml:space="preserve">Modelo de Documentação Rápida para Projetos de Jogos Estudantis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Ind w:w="-115.0" w:type="dxa"/>
        <w:tblLayout w:type="fixed"/>
        <w:tblLook w:val="0400"/>
      </w:tblPr>
      <w:tblGrid>
        <w:gridCol w:w="2592"/>
        <w:gridCol w:w="7488"/>
        <w:tblGridChange w:id="0">
          <w:tblGrid>
            <w:gridCol w:w="2592"/>
            <w:gridCol w:w="7488"/>
          </w:tblGrid>
        </w:tblGridChange>
      </w:tblGrid>
      <w:tr>
        <w:trPr>
          <w:cantSplit w:val="0"/>
          <w:trHeight w:val="347.582" w:hRule="atLeast"/>
          <w:tblHeader w:val="0"/>
        </w:trPr>
        <w:tc>
          <w:tcPr>
            <w:shd w:fill="f7fafc" w:val="clea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Alunos: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after="0" w:line="288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Paulo, Guilherme, Henrique, Deyvid, Pablo, Samuel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120" w:before="360" w:lineRule="auto"/>
        <w:rPr/>
      </w:pPr>
      <w:r w:rsidDel="00000000" w:rsidR="00000000" w:rsidRPr="00000000">
        <w:rPr>
          <w:b w:val="1"/>
          <w:bCs w:val="1"/>
          <w:color w:val="1a202c"/>
          <w:sz w:val="26"/>
          <w:szCs w:val="26"/>
          <w:rtl w:val="0"/>
        </w:rPr>
        <w:t xml:space="preserve">1. Visão Geral (The Pitch)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Ind w:w="-115.0" w:type="dxa"/>
        <w:tblLayout w:type="fixed"/>
        <w:tblLook w:val="0400"/>
      </w:tblPr>
      <w:tblGrid>
        <w:gridCol w:w="2592"/>
        <w:gridCol w:w="7488"/>
        <w:tblGridChange w:id="0">
          <w:tblGrid>
            <w:gridCol w:w="2592"/>
            <w:gridCol w:w="7488"/>
          </w:tblGrid>
        </w:tblGridChange>
      </w:tblGrid>
      <w:tr>
        <w:trPr>
          <w:cantSplit w:val="0"/>
          <w:tblHeader w:val="0"/>
        </w:trPr>
        <w:tc>
          <w:tcPr>
            <w:shd w:fill="f7fafc" w:val="clea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do Jogo: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Infinity Shadow.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Gênero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Plataforma 2D, Ação, Aventura, RPG (Subgênero: Dark Fantasy / Soulslike).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2.582" w:hRule="atLeast"/>
          <w:tblHeader w:val="0"/>
        </w:trPr>
        <w:tc>
          <w:tcPr>
            <w:shd w:fill="f7fafc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Público-Alvo: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Jogadores dedicados de 16-30 anos.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Plataforma Alvo: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PC (Steam).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120" w:lineRule="auto"/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High-Concept Pitch (A Ideia em uma frase):</w:t>
      </w: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Ind w:w="-115.0" w:type="dxa"/>
        <w:tblLayout w:type="fixed"/>
        <w:tblLook w:val="0400"/>
      </w:tblPr>
      <w:tblGrid>
        <w:gridCol w:w="2592"/>
        <w:gridCol w:w="7488"/>
        <w:tblGridChange w:id="0">
          <w:tblGrid>
            <w:gridCol w:w="2592"/>
            <w:gridCol w:w="7488"/>
          </w:tblGrid>
        </w:tblGridChange>
      </w:tblGrid>
      <w:tr>
        <w:trPr>
          <w:cantSplit w:val="0"/>
          <w:tblHeader w:val="0"/>
        </w:trPr>
        <w:tc>
          <w:tcPr>
            <w:shd w:fill="f7fafc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Pitch: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240" w:lineRule="auto"/>
              <w:ind w:left="0" w:firstLine="0"/>
              <w:rPr/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Um jogo de ação sombrio na era feudal, onde um jovem imune a uma praga de insanidade usa uma katana amaldiçoada.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360" w:lineRule="auto"/>
        <w:rPr/>
      </w:pPr>
      <w:r w:rsidDel="00000000" w:rsidR="00000000" w:rsidRPr="00000000">
        <w:rPr>
          <w:b w:val="1"/>
          <w:bCs w:val="1"/>
          <w:color w:val="1a202c"/>
          <w:sz w:val="26"/>
          <w:szCs w:val="26"/>
          <w:rtl w:val="0"/>
        </w:rPr>
        <w:t xml:space="preserve">2. Core Gameplay (O Coração do Jogo)</w:t>
      </w: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Ind w:w="-115.0" w:type="dxa"/>
        <w:tblLayout w:type="fixed"/>
        <w:tblLook w:val="0400"/>
      </w:tblPr>
      <w:tblGrid>
        <w:gridCol w:w="2592"/>
        <w:gridCol w:w="7488"/>
        <w:tblGridChange w:id="0">
          <w:tblGrid>
            <w:gridCol w:w="2592"/>
            <w:gridCol w:w="7488"/>
          </w:tblGrid>
        </w:tblGridChange>
      </w:tblGrid>
      <w:tr>
        <w:trPr>
          <w:cantSplit w:val="0"/>
          <w:tblHeader w:val="0"/>
        </w:trPr>
        <w:tc>
          <w:tcPr>
            <w:shd w:fill="f7fafc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0" w:before="40" w:lineRule="auto"/>
              <w:ind w:left="0" w:firstLine="0"/>
              <w:rPr/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Atravessar os reinos devastados para vingar a morte de sua família, destruindo os líderes da Corrente do Rancor, sabendo que cada vitória aproxima o protagonista de sua própria ruína.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Ind w:w="-115.0" w:type="dxa"/>
        <w:tblLayout w:type="fixed"/>
        <w:tblLook w:val="0400"/>
      </w:tblPr>
      <w:tblGrid>
        <w:gridCol w:w="2592"/>
        <w:gridCol w:w="7488"/>
        <w:tblGridChange w:id="0">
          <w:tblGrid>
            <w:gridCol w:w="2592"/>
            <w:gridCol w:w="7488"/>
          </w:tblGrid>
        </w:tblGridChange>
      </w:tblGrid>
      <w:tr>
        <w:trPr>
          <w:cantSplit w:val="0"/>
          <w:tblHeader w:val="0"/>
        </w:trPr>
        <w:tc>
          <w:tcPr>
            <w:shd w:fill="f7fafc" w:val="clea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Loop (O Ciclo Principal):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Explorar cenários hostis &gt; Enfrentar inimigos gerenciando estamina e corrupção &gt; Descansar/Salvar em Estátuas &gt; Progredir na campanha.</w:t>
            </w:r>
            <w:r w:rsidDel="00000000" w:rsidR="00000000" w:rsidRPr="00000000">
              <w:rPr>
                <w:i w:val="1"/>
                <w:iCs w:val="1"/>
                <w:color w:val="a0aec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left"/>
        <w:tblInd w:w="-115.0" w:type="dxa"/>
        <w:tblLayout w:type="fixed"/>
        <w:tblLook w:val="0400"/>
      </w:tblPr>
      <w:tblGrid>
        <w:gridCol w:w="2592"/>
        <w:gridCol w:w="7488"/>
        <w:tblGridChange w:id="0">
          <w:tblGrid>
            <w:gridCol w:w="2592"/>
            <w:gridCol w:w="7488"/>
          </w:tblGrid>
        </w:tblGridChange>
      </w:tblGrid>
      <w:tr>
        <w:trPr>
          <w:cantSplit w:val="0"/>
          <w:tblHeader w:val="0"/>
        </w:trPr>
        <w:tc>
          <w:tcPr>
            <w:shd w:fill="f7fafc" w:val="clea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Controles Básicos: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8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 / D (ou Analógico Esquerdo):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Movimentação do personagem (Esquerda/Direita).</w:t>
            </w:r>
          </w:p>
          <w:p w:rsidR="00000000" w:rsidDel="00000000" w:rsidP="00000000" w:rsidRDefault="00000000" w:rsidRPr="00000000" w14:paraId="0000001C">
            <w:pPr>
              <w:spacing w:after="8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Espaço / W (ou Botão A/X):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Pulo.</w:t>
            </w:r>
          </w:p>
          <w:p w:rsidR="00000000" w:rsidDel="00000000" w:rsidP="00000000" w:rsidRDefault="00000000" w:rsidRPr="00000000" w14:paraId="0000001D">
            <w:pPr>
              <w:spacing w:after="8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Clique Esquerdo (ou Gatilho Direito - RT/R2):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Ataque com a Lâmina de Sangue. </w:t>
            </w:r>
          </w:p>
          <w:p w:rsidR="00000000" w:rsidDel="00000000" w:rsidP="00000000" w:rsidRDefault="00000000" w:rsidRPr="00000000" w14:paraId="0000001E">
            <w:pPr>
              <w:spacing w:after="8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Shift Esquerdo (ou Botão - RB/R1):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Esquiva / Dash (Consome Estamina).</w:t>
            </w:r>
          </w:p>
          <w:p w:rsidR="00000000" w:rsidDel="00000000" w:rsidP="00000000" w:rsidRDefault="00000000" w:rsidRPr="00000000" w14:paraId="0000001F">
            <w:pPr>
              <w:spacing w:after="8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Tecla 'E' (ou Botão X/Quadrado):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Interagir com o cenário / Estátuas de Salvamento.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360" w:lineRule="auto"/>
        <w:rPr/>
      </w:pPr>
      <w:r w:rsidDel="00000000" w:rsidR="00000000" w:rsidRPr="00000000">
        <w:rPr>
          <w:b w:val="1"/>
          <w:bCs w:val="1"/>
          <w:color w:val="1a202c"/>
          <w:sz w:val="26"/>
          <w:szCs w:val="26"/>
          <w:rtl w:val="0"/>
        </w:rPr>
        <w:t xml:space="preserve">3. Mecânicas e Regras (Como o jogo funciona?) </w:t>
      </w:r>
      <w:r w:rsidDel="00000000" w:rsidR="00000000" w:rsidRPr="00000000">
        <w:rPr>
          <w:rtl w:val="0"/>
        </w:rPr>
      </w:r>
    </w:p>
    <w:tbl>
      <w:tblPr>
        <w:tblStyle w:val="Table7"/>
        <w:tblW w:w="10080.0" w:type="dxa"/>
        <w:jc w:val="left"/>
        <w:tblInd w:w="-115.0" w:type="dxa"/>
        <w:tblLayout w:type="fixed"/>
        <w:tblLook w:val="0400"/>
      </w:tblPr>
      <w:tblGrid>
        <w:gridCol w:w="2592"/>
        <w:gridCol w:w="7488"/>
        <w:tblGridChange w:id="0">
          <w:tblGrid>
            <w:gridCol w:w="2592"/>
            <w:gridCol w:w="7488"/>
          </w:tblGrid>
        </w:tblGridChange>
      </w:tblGrid>
      <w:tr>
        <w:trPr>
          <w:cantSplit w:val="0"/>
          <w:tblHeader w:val="0"/>
        </w:trPr>
        <w:tc>
          <w:tcPr>
            <w:shd w:fill="f7fafc" w:val="clea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Mecânica Ativa 1: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0" w:before="40" w:lineRule="auto"/>
              <w:rPr/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Barra de estamina, que gerencia a energia física do personagem e dita o ritmo estratégico dos combates.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120" w:before="3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080.0" w:type="dxa"/>
        <w:jc w:val="left"/>
        <w:tblInd w:w="-115.0" w:type="dxa"/>
        <w:tblLayout w:type="fixed"/>
        <w:tblLook w:val="0400"/>
      </w:tblPr>
      <w:tblGrid>
        <w:gridCol w:w="2592"/>
        <w:gridCol w:w="7488"/>
        <w:tblGridChange w:id="0">
          <w:tblGrid>
            <w:gridCol w:w="2592"/>
            <w:gridCol w:w="7488"/>
          </w:tblGrid>
        </w:tblGridChange>
      </w:tblGrid>
      <w:tr>
        <w:trPr>
          <w:cantSplit w:val="0"/>
          <w:tblHeader w:val="0"/>
        </w:trPr>
        <w:tc>
          <w:tcPr>
            <w:shd w:fill="f7fafc" w:val="clea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Mecânica Ativa 2: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0" w:before="40" w:lineRule="auto"/>
              <w:rPr/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Doenças, pragas e sangramentos, que atuam como modificadores de status negativos, infligindo perda contínua de vida ou necrose nos tecidos do herói.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120" w:before="3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080.0" w:type="dxa"/>
        <w:jc w:val="left"/>
        <w:tblInd w:w="-115.0" w:type="dxa"/>
        <w:tblLayout w:type="fixed"/>
        <w:tblLook w:val="0400"/>
      </w:tblPr>
      <w:tblGrid>
        <w:gridCol w:w="2592"/>
        <w:gridCol w:w="7488"/>
        <w:tblGridChange w:id="0">
          <w:tblGrid>
            <w:gridCol w:w="2592"/>
            <w:gridCol w:w="7488"/>
          </w:tblGrid>
        </w:tblGridChange>
      </w:tblGrid>
      <w:tr>
        <w:trPr>
          <w:cantSplit w:val="0"/>
          <w:tblHeader w:val="0"/>
        </w:trPr>
        <w:tc>
          <w:tcPr>
            <w:shd w:fill="f7fafc" w:val="clea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Mecânica Ativa 3: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0" w:before="40" w:lineRule="auto"/>
              <w:rPr/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Objetos e armas amaldiçoadas, que funcionam através de um sistema de corrupção, concedendo poder bruto e velocidade em troca de consumir gradativamente a alma e a vitalidade do portador.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120" w:before="3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080.0" w:type="dxa"/>
        <w:jc w:val="left"/>
        <w:tblInd w:w="-115.0" w:type="dxa"/>
        <w:tblLayout w:type="fixed"/>
        <w:tblLook w:val="0400"/>
      </w:tblPr>
      <w:tblGrid>
        <w:gridCol w:w="2592"/>
        <w:gridCol w:w="7488"/>
        <w:tblGridChange w:id="0">
          <w:tblGrid>
            <w:gridCol w:w="2592"/>
            <w:gridCol w:w="7488"/>
          </w:tblGrid>
        </w:tblGridChange>
      </w:tblGrid>
      <w:tr>
        <w:trPr>
          <w:cantSplit w:val="0"/>
          <w:trHeight w:val="207.77587890625006" w:hRule="atLeast"/>
          <w:tblHeader w:val="0"/>
        </w:trPr>
        <w:tc>
          <w:tcPr>
            <w:shd w:fill="f7fafc" w:val="clea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Mecânica Passiva 1: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0" w:before="4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Estátuas (Save), que servem como pontos de salvamento e descanso para recuperar a saúde do protagonista ao longo do caminho.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080.0" w:type="dxa"/>
        <w:jc w:val="left"/>
        <w:tblInd w:w="-115.0" w:type="dxa"/>
        <w:tblLayout w:type="fixed"/>
        <w:tblLook w:val="0400"/>
      </w:tblPr>
      <w:tblGrid>
        <w:gridCol w:w="2592"/>
        <w:gridCol w:w="7488"/>
        <w:tblGridChange w:id="0">
          <w:tblGrid>
            <w:gridCol w:w="2592"/>
            <w:gridCol w:w="7488"/>
          </w:tblGrid>
        </w:tblGridChange>
      </w:tblGrid>
      <w:tr>
        <w:trPr>
          <w:cantSplit w:val="0"/>
          <w:tblHeader w:val="0"/>
        </w:trPr>
        <w:tc>
          <w:tcPr>
            <w:shd w:fill="f7fafc" w:val="clea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Mecânica Passiva 2: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0" w:before="40" w:lineRule="auto"/>
              <w:rPr/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Esquiva, ataque, que operam como os comandos básicos e mecânicas de jogabilidade para os confrontos diretos.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0080.0" w:type="dxa"/>
        <w:jc w:val="left"/>
        <w:tblInd w:w="-115.0" w:type="dxa"/>
        <w:tblLayout w:type="fixed"/>
        <w:tblLook w:val="0400"/>
      </w:tblPr>
      <w:tblGrid>
        <w:gridCol w:w="2592"/>
        <w:gridCol w:w="7488"/>
        <w:tblGridChange w:id="0">
          <w:tblGrid>
            <w:gridCol w:w="2592"/>
            <w:gridCol w:w="7488"/>
          </w:tblGrid>
        </w:tblGridChange>
      </w:tblGrid>
      <w:tr>
        <w:trPr>
          <w:cantSplit w:val="0"/>
          <w:tblHeader w:val="0"/>
        </w:trPr>
        <w:tc>
          <w:tcPr>
            <w:shd w:fill="f7fafc" w:val="clea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Condições de Vitória: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0" w:lineRule="auto"/>
              <w:rPr>
                <w:i w:val="1"/>
                <w:iCs w:val="1"/>
                <w:color w:val="718096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Derrotar Lastiel nas profundezas das catacumbas de Noothy, concluindo a campanha.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080.0" w:type="dxa"/>
        <w:jc w:val="left"/>
        <w:tblInd w:w="-115.0" w:type="dxa"/>
        <w:tblLayout w:type="fixed"/>
        <w:tblLook w:val="0400"/>
      </w:tblPr>
      <w:tblGrid>
        <w:gridCol w:w="2592"/>
        <w:gridCol w:w="7488"/>
        <w:tblGridChange w:id="0">
          <w:tblGrid>
            <w:gridCol w:w="2592"/>
            <w:gridCol w:w="7488"/>
          </w:tblGrid>
        </w:tblGridChange>
      </w:tblGrid>
      <w:tr>
        <w:trPr>
          <w:cantSplit w:val="0"/>
          <w:tblHeader w:val="0"/>
        </w:trPr>
        <w:tc>
          <w:tcPr>
            <w:shd w:fill="f7fafc" w:val="clea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Condições de Derrota: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A vida de Kyota ao chegar a zero pelos ataques inimigos, doenças ou pelo consumo total da Barra de Corrupção.</w:t>
            </w:r>
          </w:p>
          <w:p w:rsidR="00000000" w:rsidDel="00000000" w:rsidP="00000000" w:rsidRDefault="00000000" w:rsidRPr="00000000" w14:paraId="00000036">
            <w:pPr>
              <w:rPr>
                <w:i w:val="1"/>
                <w:iCs w:val="1"/>
                <w:color w:val="71809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before="360" w:lineRule="auto"/>
        <w:rPr/>
      </w:pPr>
      <w:r w:rsidDel="00000000" w:rsidR="00000000" w:rsidRPr="00000000">
        <w:rPr>
          <w:b w:val="1"/>
          <w:bCs w:val="1"/>
          <w:color w:val="1a202c"/>
          <w:sz w:val="26"/>
          <w:szCs w:val="26"/>
          <w:rtl w:val="0"/>
        </w:rPr>
        <w:t xml:space="preserve">4. Universo e Identidade Visual (Foco em Arte)</w:t>
      </w:r>
      <w:r w:rsidDel="00000000" w:rsidR="00000000" w:rsidRPr="00000000">
        <w:rPr>
          <w:rtl w:val="0"/>
        </w:rPr>
      </w:r>
    </w:p>
    <w:tbl>
      <w:tblPr>
        <w:tblStyle w:val="Table14"/>
        <w:tblW w:w="10080.0" w:type="dxa"/>
        <w:jc w:val="left"/>
        <w:tblInd w:w="-115.0" w:type="dxa"/>
        <w:tblLayout w:type="fixed"/>
        <w:tblLook w:val="0400"/>
      </w:tblPr>
      <w:tblGrid>
        <w:gridCol w:w="2592"/>
        <w:gridCol w:w="7488"/>
        <w:tblGridChange w:id="0">
          <w:tblGrid>
            <w:gridCol w:w="2592"/>
            <w:gridCol w:w="7488"/>
          </w:tblGrid>
        </w:tblGridChange>
      </w:tblGrid>
      <w:tr>
        <w:trPr>
          <w:cantSplit w:val="0"/>
          <w:tblHeader w:val="0"/>
        </w:trPr>
        <w:tc>
          <w:tcPr>
            <w:shd w:fill="f7fafc" w:val="clea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História e Contexto (Breve):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0" w:before="40" w:lineRule="auto"/>
              <w:rPr/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Em um mundo de fantasia sombria destruído por uma praga, o jovem Kyota usa uma espada amaldiçoada que consome sua alma para se vingar dos tiranos que mataram sua família.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0080.0" w:type="dxa"/>
        <w:jc w:val="left"/>
        <w:tblInd w:w="-115.0" w:type="dxa"/>
        <w:tblLayout w:type="fixed"/>
        <w:tblLook w:val="0400"/>
      </w:tblPr>
      <w:tblGrid>
        <w:gridCol w:w="2592"/>
        <w:gridCol w:w="7488"/>
        <w:tblGridChange w:id="0">
          <w:tblGrid>
            <w:gridCol w:w="2592"/>
            <w:gridCol w:w="7488"/>
          </w:tblGrid>
        </w:tblGridChange>
      </w:tblGrid>
      <w:tr>
        <w:trPr>
          <w:cantSplit w:val="0"/>
          <w:tblHeader w:val="0"/>
        </w:trPr>
        <w:tc>
          <w:tcPr>
            <w:shd w:fill="f7fafc" w:val="clea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Estilo de Arte Escolhido: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Fantasia Sombria.</w:t>
            </w:r>
          </w:p>
        </w:tc>
      </w:tr>
    </w:tbl>
    <w:p w:rsidR="00000000" w:rsidDel="00000000" w:rsidP="00000000" w:rsidRDefault="00000000" w:rsidRPr="00000000" w14:paraId="0000003E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0080.0" w:type="dxa"/>
        <w:jc w:val="left"/>
        <w:tblInd w:w="-115.0" w:type="dxa"/>
        <w:tblLayout w:type="fixed"/>
        <w:tblLook w:val="0400"/>
      </w:tblPr>
      <w:tblGrid>
        <w:gridCol w:w="2592"/>
        <w:gridCol w:w="7488"/>
        <w:tblGridChange w:id="0">
          <w:tblGrid>
            <w:gridCol w:w="2592"/>
            <w:gridCol w:w="7488"/>
          </w:tblGrid>
        </w:tblGridChange>
      </w:tblGrid>
      <w:tr>
        <w:trPr>
          <w:cantSplit w:val="0"/>
          <w:tblHeader w:val="0"/>
        </w:trPr>
        <w:tc>
          <w:tcPr>
            <w:shd w:fill="f7fafc" w:val="clea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Justificativa do Estilo: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Utilizando traços estilizados e uma paleta de cores escuras para transmitir a atmosfera de maldições, monstros e tragédias presente na narrativa de Infinity Shadow.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10080.0" w:type="dxa"/>
        <w:jc w:val="left"/>
        <w:tblInd w:w="-115.0" w:type="dxa"/>
        <w:tblLayout w:type="fixed"/>
        <w:tblLook w:val="0400"/>
      </w:tblPr>
      <w:tblGrid>
        <w:gridCol w:w="2592"/>
        <w:gridCol w:w="7488"/>
        <w:tblGridChange w:id="0">
          <w:tblGrid>
            <w:gridCol w:w="2592"/>
            <w:gridCol w:w="7488"/>
          </w:tblGrid>
        </w:tblGridChange>
      </w:tblGrid>
      <w:tr>
        <w:trPr>
          <w:cantSplit w:val="0"/>
          <w:tblHeader w:val="0"/>
        </w:trPr>
        <w:tc>
          <w:tcPr>
            <w:shd w:fill="f7fafc" w:val="clea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Sensação / Vibe do Jogo: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Solidão, opressão e melancolia.</w:t>
            </w:r>
          </w:p>
        </w:tc>
      </w:tr>
    </w:tbl>
    <w:p w:rsidR="00000000" w:rsidDel="00000000" w:rsidP="00000000" w:rsidRDefault="00000000" w:rsidRPr="00000000" w14:paraId="00000044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10080.0" w:type="dxa"/>
        <w:jc w:val="left"/>
        <w:tblInd w:w="-115.0" w:type="dxa"/>
        <w:tblLayout w:type="fixed"/>
        <w:tblLook w:val="0400"/>
      </w:tblPr>
      <w:tblGrid>
        <w:gridCol w:w="2592"/>
        <w:gridCol w:w="7488"/>
        <w:tblGridChange w:id="0">
          <w:tblGrid>
            <w:gridCol w:w="2592"/>
            <w:gridCol w:w="7488"/>
          </w:tblGrid>
        </w:tblGridChange>
      </w:tblGrid>
      <w:tr>
        <w:trPr>
          <w:cantSplit w:val="0"/>
          <w:trHeight w:val="987.7460000000002" w:hRule="atLeast"/>
          <w:tblHeader w:val="0"/>
        </w:trPr>
        <w:tc>
          <w:tcPr>
            <w:shd w:fill="f7fafc" w:val="clea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Paleta de Cores e Atmosfera: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Tons frios e escuros (cinza, preto e azul) para transmitir solidão. Vermelho escarlate destaca o combate (katana e maldição) e o branco indica a interface e itens.</w:t>
            </w:r>
          </w:p>
        </w:tc>
      </w:tr>
    </w:tbl>
    <w:p w:rsidR="00000000" w:rsidDel="00000000" w:rsidP="00000000" w:rsidRDefault="00000000" w:rsidRPr="00000000" w14:paraId="0000004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before="20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Moodboard Visual (Painel de Referências):</w:t>
      </w:r>
    </w:p>
    <w:p w:rsidR="00000000" w:rsidDel="00000000" w:rsidP="00000000" w:rsidRDefault="00000000" w:rsidRPr="00000000" w14:paraId="00000049">
      <w:pPr>
        <w:spacing w:before="20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</w:rPr>
        <w:drawing>
          <wp:inline distB="114300" distT="114300" distL="114300" distR="114300">
            <wp:extent cx="4551998" cy="3662377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1998" cy="36623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76" w:lineRule="auto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Inspirado em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Salt and Sanctuary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Blasphemous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e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Hollow Knight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o jogo une-se à solidão de cenários gigantescos e vazios. O uso cirúrgico do vermelho destaca o perigo e o combate visceral.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10080.0" w:type="dxa"/>
        <w:jc w:val="left"/>
        <w:tblInd w:w="-115.0" w:type="dxa"/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edf2f7" w:val="clea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Espaço para Imagem (Referência)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7" w:val="clea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extraímos desta referência?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color w:val="a0aec0"/>
                <w:rtl w:val="0"/>
              </w:rPr>
              <w:br w:type="textWrapping"/>
            </w:r>
            <w:r w:rsidDel="00000000" w:rsidR="00000000" w:rsidRPr="00000000">
              <w:rPr>
                <w:i w:val="1"/>
                <w:iCs w:val="1"/>
                <w:color w:val="a0aec0"/>
              </w:rPr>
              <w:drawing>
                <wp:inline distB="114300" distT="114300" distL="114300" distR="114300">
                  <wp:extent cx="3048000" cy="171450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0" cy="171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i w:val="1"/>
                <w:iCs w:val="1"/>
                <w:color w:val="71809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>
                <w:i w:val="1"/>
                <w:iCs w:val="1"/>
                <w:color w:val="71809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>
                <w:i w:val="1"/>
                <w:iCs w:val="1"/>
                <w:color w:val="71809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O estilo de e os contornos pretos marcantes para os personagens e plataformas.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color w:val="a0aec0"/>
              </w:rPr>
              <w:drawing>
                <wp:inline distB="114300" distT="114300" distL="114300" distR="114300">
                  <wp:extent cx="3048000" cy="17145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0" cy="171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i w:val="1"/>
                <w:iCs w:val="1"/>
                <w:color w:val="71809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>
                <w:i w:val="1"/>
                <w:iCs w:val="1"/>
                <w:color w:val="71809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A atmosfera opressiva e o uso do vermelho escarlate em forte contraste com o cenário cinzento para destacar o combate.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color w:val="a0aec0"/>
                <w:rtl w:val="0"/>
              </w:rPr>
              <w:br w:type="textWrapping"/>
            </w:r>
            <w:r w:rsidDel="00000000" w:rsidR="00000000" w:rsidRPr="00000000">
              <w:rPr>
                <w:i w:val="1"/>
                <w:iCs w:val="1"/>
                <w:color w:val="a0aec0"/>
              </w:rPr>
              <w:drawing>
                <wp:inline distB="114300" distT="114300" distL="114300" distR="114300">
                  <wp:extent cx="3048000" cy="1714500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0" cy="171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i w:val="1"/>
                <w:iCs w:val="1"/>
                <w:color w:val="a0aec0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i w:val="1"/>
                <w:iCs w:val="1"/>
                <w:color w:val="71809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>
                <w:i w:val="1"/>
                <w:iCs w:val="1"/>
                <w:color w:val="71809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A sensação de solidão e isolamento através de cenários gigantescos, vazios e divididos em camadas de silhuetas.</w:t>
            </w:r>
          </w:p>
        </w:tc>
      </w:tr>
    </w:tbl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10080.0" w:type="dxa"/>
        <w:jc w:val="left"/>
        <w:tblInd w:w="-115.0" w:type="dxa"/>
        <w:tblLayout w:type="fixed"/>
        <w:tblLook w:val="0400"/>
      </w:tblPr>
      <w:tblGrid>
        <w:gridCol w:w="3600"/>
        <w:gridCol w:w="6480"/>
        <w:tblGridChange w:id="0">
          <w:tblGrid>
            <w:gridCol w:w="360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f7fafc" w:val="clea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 para o Moodboard / Referências: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i w:val="1"/>
                <w:iCs w:val="1"/>
                <w:color w:val="718096"/>
                <w:rtl w:val="0"/>
              </w:rPr>
              <w:t xml:space="preserve">[-]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120" w:before="360" w:lineRule="auto"/>
        <w:rPr/>
      </w:pPr>
      <w:r w:rsidDel="00000000" w:rsidR="00000000" w:rsidRPr="00000000">
        <w:rPr>
          <w:b w:val="1"/>
          <w:bCs w:val="1"/>
          <w:color w:val="1a202c"/>
          <w:sz w:val="26"/>
          <w:szCs w:val="26"/>
          <w:rtl w:val="0"/>
        </w:rPr>
        <w:t xml:space="preserve">5. Planejamento de Escopo (MVP - Mínimo Produto Viável)</w:t>
      </w:r>
      <w:r w:rsidDel="00000000" w:rsidR="00000000" w:rsidRPr="00000000">
        <w:rPr>
          <w:rtl w:val="0"/>
        </w:rPr>
      </w:r>
    </w:p>
    <w:tbl>
      <w:tblPr>
        <w:tblStyle w:val="Table21"/>
        <w:tblW w:w="10080.0" w:type="dxa"/>
        <w:jc w:val="left"/>
        <w:tblInd w:w="-115.0" w:type="dxa"/>
        <w:tblLayout w:type="fixed"/>
        <w:tblLook w:val="0400"/>
      </w:tblPr>
      <w:tblGrid>
        <w:gridCol w:w="2640"/>
        <w:gridCol w:w="7440"/>
        <w:tblGridChange w:id="0">
          <w:tblGrid>
            <w:gridCol w:w="2640"/>
            <w:gridCol w:w="7440"/>
          </w:tblGrid>
        </w:tblGridChange>
      </w:tblGrid>
      <w:tr>
        <w:trPr>
          <w:cantSplit w:val="0"/>
          <w:tblHeader w:val="0"/>
        </w:trPr>
        <w:tc>
          <w:tcPr>
            <w:shd w:fill="f7fafc" w:val="clea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Escopo do MVP (O que DEVE ser feito):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highlight w:val="white"/>
                <w:rtl w:val="0"/>
              </w:rPr>
              <w:t xml:space="preserve">Jogo 2D de fantasia sombria com Kyota, combate, movimentação, esquiva, estamina, corrupção, inimigos e um chefe.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10080.0" w:type="dxa"/>
        <w:jc w:val="left"/>
        <w:tblInd w:w="-115.0" w:type="dxa"/>
        <w:tblLayout w:type="fixed"/>
        <w:tblLook w:val="0400"/>
      </w:tblPr>
      <w:tblGrid>
        <w:gridCol w:w="2670"/>
        <w:gridCol w:w="7410"/>
        <w:tblGridChange w:id="0">
          <w:tblGrid>
            <w:gridCol w:w="2670"/>
            <w:gridCol w:w="7410"/>
          </w:tblGrid>
        </w:tblGridChange>
      </w:tblGrid>
      <w:tr>
        <w:trPr>
          <w:cantSplit w:val="0"/>
          <w:trHeight w:val="1005" w:hRule="atLeast"/>
          <w:tblHeader w:val="0"/>
        </w:trPr>
        <w:tc>
          <w:tcPr>
            <w:shd w:fill="f7fafc" w:val="clea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fica DE FORA (Escopo Cortado):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60" w:lineRule="auto"/>
              <w:ind w:left="0" w:firstLine="0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Ficam de fora multiplayer, customização, várias armas e fases, cutscenes complexas e sistemas avançado</w:t>
            </w: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s de RPG.</w:t>
            </w:r>
          </w:p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40" w:lineRule="auto"/>
        <w:rPr/>
      </w:pPr>
      <w:r w:rsidDel="00000000" w:rsidR="00000000" w:rsidRPr="00000000">
        <w:rPr/>
        <w:drawing>
          <wp:inline distB="114300" distT="114300" distL="114300" distR="114300">
            <wp:extent cx="3570923" cy="8979961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0923" cy="89799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008" w:top="1008" w:left="864" w:right="8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color w:val="2d3748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